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inline>
            <wp:extent cx="647446" cy="83947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47446" cy="8394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РЕСПУБЛИКА КАРЕЛИЯ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ПРИОНЕЖСКИЙ МУНИЦИПАЛЬНЫЙ РАЙОН</w:t>
      </w:r>
    </w:p>
    <w:p w14:paraId="04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АДМИНИСТРАЦИЯ </w:t>
      </w:r>
      <w:r>
        <w:rPr>
          <w:sz w:val="28"/>
        </w:rPr>
        <w:t>ДЕРЕВЯНКСКО</w:t>
      </w:r>
      <w:r>
        <w:rPr>
          <w:sz w:val="28"/>
        </w:rPr>
        <w:t>ГО</w:t>
      </w:r>
      <w:r>
        <w:rPr>
          <w:sz w:val="28"/>
        </w:rPr>
        <w:t xml:space="preserve"> СЕЛЬСКО</w:t>
      </w:r>
      <w:r>
        <w:rPr>
          <w:sz w:val="28"/>
        </w:rPr>
        <w:t>ГО</w:t>
      </w:r>
      <w:r>
        <w:rPr>
          <w:sz w:val="28"/>
        </w:rPr>
        <w:t xml:space="preserve"> ПОСЕЛЕНИ</w:t>
      </w:r>
      <w:r>
        <w:rPr>
          <w:sz w:val="28"/>
        </w:rPr>
        <w:t>Я</w:t>
      </w:r>
    </w:p>
    <w:p w14:paraId="05000000">
      <w:pPr>
        <w:ind/>
        <w:jc w:val="center"/>
        <w:rPr>
          <w:b w:val="1"/>
          <w:sz w:val="28"/>
        </w:rPr>
      </w:pPr>
    </w:p>
    <w:p w14:paraId="06000000">
      <w:pPr>
        <w:ind/>
        <w:jc w:val="center"/>
        <w:rPr>
          <w:sz w:val="28"/>
        </w:rPr>
      </w:pPr>
      <w:r>
        <w:rPr>
          <w:b w:val="1"/>
          <w:sz w:val="28"/>
        </w:rPr>
        <w:t>ПОСТАНОВЛЕНИЕ</w:t>
      </w:r>
      <w:r>
        <w:rPr>
          <w:sz w:val="28"/>
        </w:rPr>
        <w:t xml:space="preserve">  </w:t>
      </w:r>
    </w:p>
    <w:p w14:paraId="07000000">
      <w:pPr>
        <w:ind/>
        <w:jc w:val="center"/>
        <w:rPr>
          <w:sz w:val="28"/>
        </w:rPr>
      </w:pPr>
    </w:p>
    <w:p w14:paraId="08000000">
      <w:pPr>
        <w:rPr>
          <w:sz w:val="28"/>
        </w:rPr>
      </w:pPr>
    </w:p>
    <w:p w14:paraId="09000000">
      <w:pPr>
        <w:rPr>
          <w:sz w:val="28"/>
        </w:rPr>
      </w:pPr>
      <w:r>
        <w:rPr>
          <w:sz w:val="28"/>
        </w:rPr>
        <w:t>17</w:t>
      </w:r>
      <w:r>
        <w:rPr>
          <w:sz w:val="28"/>
        </w:rPr>
        <w:t xml:space="preserve"> </w:t>
      </w:r>
      <w:r>
        <w:rPr>
          <w:sz w:val="28"/>
        </w:rPr>
        <w:t>мая</w:t>
      </w:r>
      <w:r>
        <w:rPr>
          <w:sz w:val="28"/>
        </w:rPr>
        <w:t xml:space="preserve"> </w:t>
      </w:r>
      <w:r>
        <w:rPr>
          <w:sz w:val="28"/>
        </w:rPr>
        <w:t>201</w:t>
      </w:r>
      <w:r>
        <w:rPr>
          <w:sz w:val="28"/>
        </w:rPr>
        <w:t>8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</w:t>
      </w:r>
      <w:r>
        <w:rPr>
          <w:sz w:val="28"/>
        </w:rPr>
        <w:t xml:space="preserve">    </w:t>
      </w:r>
      <w:r>
        <w:rPr>
          <w:sz w:val="28"/>
        </w:rPr>
        <w:t xml:space="preserve">   </w:t>
      </w:r>
      <w:r>
        <w:rPr>
          <w:sz w:val="28"/>
        </w:rPr>
        <w:t xml:space="preserve">  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19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</w:p>
    <w:p w14:paraId="0C000000">
      <w:pPr>
        <w:rPr>
          <w:sz w:val="28"/>
        </w:rPr>
      </w:pPr>
      <w:r>
        <w:rPr>
          <w:sz w:val="28"/>
        </w:rPr>
        <w:t xml:space="preserve">Об </w:t>
      </w:r>
      <w:r>
        <w:rPr>
          <w:sz w:val="28"/>
        </w:rPr>
        <w:t xml:space="preserve">утверждении технологических схем </w:t>
      </w:r>
    </w:p>
    <w:p w14:paraId="0D000000">
      <w:pPr>
        <w:rPr>
          <w:sz w:val="28"/>
        </w:rPr>
      </w:pPr>
      <w:r>
        <w:rPr>
          <w:sz w:val="28"/>
        </w:rPr>
        <w:t>предоставления</w:t>
      </w:r>
      <w:r>
        <w:rPr>
          <w:sz w:val="28"/>
        </w:rPr>
        <w:t xml:space="preserve"> муниципальных услуг</w:t>
      </w:r>
    </w:p>
    <w:p w14:paraId="0E000000">
      <w:pPr>
        <w:spacing w:line="276" w:lineRule="auto"/>
        <w:ind/>
        <w:jc w:val="center"/>
        <w:rPr>
          <w:sz w:val="28"/>
        </w:rPr>
      </w:pPr>
    </w:p>
    <w:p w14:paraId="0F000000">
      <w:pPr>
        <w:spacing w:line="276" w:lineRule="auto"/>
        <w:ind w:firstLine="709" w:left="0"/>
        <w:jc w:val="both"/>
        <w:rPr>
          <w:b w:val="1"/>
          <w:sz w:val="28"/>
        </w:rPr>
      </w:pPr>
      <w:r>
        <w:rPr>
          <w:sz w:val="28"/>
        </w:rPr>
        <w:t xml:space="preserve">В соответствии с </w:t>
      </w:r>
      <w:r>
        <w:rPr>
          <w:sz w:val="28"/>
        </w:rPr>
        <w:t xml:space="preserve"> пунктом 3 п</w:t>
      </w:r>
      <w:r>
        <w:rPr>
          <w:sz w:val="28"/>
        </w:rPr>
        <w:t>остановления Правительства Российской Федерации</w:t>
      </w:r>
      <w:r>
        <w:rPr>
          <w:sz w:val="28"/>
        </w:rPr>
        <w:t xml:space="preserve"> от 19 ноября 2016 года № 1217 «О внесении изменений в постановление Правительства Российской Федерации от 27 сентября 2011 года № 797», на основании пункта 9(1) Положения о требованиях к заключению соглашений о взаимодействии</w:t>
      </w:r>
      <w:r>
        <w:rPr>
          <w:sz w:val="28"/>
        </w:rPr>
        <w:t xml:space="preserve">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утвержденного Постановлением Правительства Российской Федерации от 27 сентября 2011 года № 797, </w:t>
      </w:r>
      <w:r>
        <w:rPr>
          <w:sz w:val="28"/>
        </w:rPr>
        <w:t>А</w:t>
      </w:r>
      <w:r>
        <w:rPr>
          <w:sz w:val="28"/>
        </w:rPr>
        <w:t xml:space="preserve">дминистрация </w:t>
      </w:r>
      <w:r>
        <w:rPr>
          <w:sz w:val="28"/>
        </w:rPr>
        <w:t>Деревянкского</w:t>
      </w:r>
      <w:r>
        <w:rPr>
          <w:sz w:val="28"/>
        </w:rPr>
        <w:t xml:space="preserve"> сельского поселения </w:t>
      </w:r>
      <w:r>
        <w:rPr>
          <w:b w:val="1"/>
          <w:sz w:val="28"/>
        </w:rPr>
        <w:t>постановляет:</w:t>
      </w:r>
    </w:p>
    <w:p w14:paraId="10000000">
      <w:pPr>
        <w:numPr>
          <w:numId w:val="1"/>
        </w:numPr>
        <w:spacing w:line="276" w:lineRule="auto"/>
        <w:ind/>
        <w:jc w:val="both"/>
        <w:rPr>
          <w:sz w:val="28"/>
        </w:rPr>
      </w:pPr>
      <w:r>
        <w:rPr>
          <w:sz w:val="28"/>
        </w:rPr>
        <w:t>Утвердить технологические схемы</w:t>
      </w:r>
      <w:r>
        <w:rPr>
          <w:sz w:val="28"/>
        </w:rPr>
        <w:t xml:space="preserve"> предоставления муниципальных</w:t>
      </w:r>
      <w:r>
        <w:rPr>
          <w:sz w:val="28"/>
        </w:rPr>
        <w:t xml:space="preserve"> </w:t>
      </w:r>
      <w:r>
        <w:rPr>
          <w:sz w:val="28"/>
        </w:rPr>
        <w:t>услуг:</w:t>
      </w:r>
    </w:p>
    <w:p w14:paraId="11000000">
      <w:pPr>
        <w:spacing w:line="276" w:lineRule="auto"/>
        <w:ind w:firstLine="0" w:left="709"/>
        <w:jc w:val="both"/>
        <w:rPr>
          <w:sz w:val="28"/>
        </w:rPr>
      </w:pPr>
      <w:r>
        <w:rPr>
          <w:rStyle w:val="Style_1_ch"/>
          <w:sz w:val="28"/>
        </w:rPr>
        <w:t>1.1 выдача копии финансово-лицевого счета, выписки из домовой книги, карточки учета собственника жилого помещения, справок и иных документов в сфере жилищно-коммунального хозяйства</w:t>
      </w:r>
      <w:r>
        <w:rPr>
          <w:sz w:val="28"/>
        </w:rPr>
        <w:t xml:space="preserve"> </w:t>
      </w:r>
    </w:p>
    <w:p w14:paraId="12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1.2 выдача выписок из реестра муниципального имущества;</w:t>
      </w:r>
    </w:p>
    <w:p w14:paraId="13000000">
      <w:pPr>
        <w:spacing w:line="276" w:lineRule="auto"/>
        <w:ind w:firstLine="709" w:left="0"/>
        <w:jc w:val="both"/>
        <w:rPr>
          <w:sz w:val="28"/>
        </w:rPr>
      </w:pPr>
      <w:r>
        <w:rPr>
          <w:rStyle w:val="Style_1_ch"/>
          <w:sz w:val="28"/>
        </w:rPr>
        <w:t>1.3 выдача муниципальным архивом архивных документов (архивных справок, выписок и копий);</w:t>
      </w:r>
    </w:p>
    <w:p w14:paraId="14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1.4 выдача ордеров на проведение земляных работ;</w:t>
      </w:r>
    </w:p>
    <w:p w14:paraId="15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1.5 выдача разрешений на снос зеленых насаждений;</w:t>
      </w:r>
    </w:p>
    <w:p w14:paraId="16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1.6 в</w:t>
      </w:r>
      <w:r>
        <w:rPr>
          <w:sz w:val="28"/>
        </w:rPr>
        <w:t>ыдача специального разрешения на движение по автомобильным дорогам местного значения тяжеловесного и (или) крупногабаритного транспортного средства;</w:t>
      </w:r>
    </w:p>
    <w:p w14:paraId="17000000">
      <w:pPr>
        <w:ind w:firstLine="709" w:left="0"/>
        <w:jc w:val="both"/>
        <w:rPr>
          <w:sz w:val="28"/>
        </w:rPr>
      </w:pPr>
      <w:r>
        <w:rPr>
          <w:sz w:val="28"/>
        </w:rPr>
        <w:t>1.7 доплата к страховой пенсии</w:t>
      </w:r>
      <w:r>
        <w:rPr>
          <w:sz w:val="28"/>
        </w:rPr>
        <w:t xml:space="preserve">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порядке;</w:t>
      </w:r>
    </w:p>
    <w:p w14:paraId="18000000">
      <w:pPr>
        <w:ind w:firstLine="709" w:left="0"/>
        <w:jc w:val="both"/>
        <w:rPr>
          <w:sz w:val="28"/>
        </w:rPr>
      </w:pPr>
      <w:r>
        <w:rPr>
          <w:rStyle w:val="Style_1_ch"/>
          <w:sz w:val="28"/>
        </w:rPr>
        <w:t>1.8 рассмотрение ходатайств заинтересованных лиц о переводе из одной категории в другую земель (земельных участков), находящихся в муниципальной и частной собственности, за исключением земель сельскохозяйственного назначения;</w:t>
      </w:r>
    </w:p>
    <w:p w14:paraId="19000000">
      <w:pPr>
        <w:ind w:firstLine="709" w:left="0"/>
        <w:jc w:val="both"/>
        <w:rPr>
          <w:sz w:val="28"/>
        </w:rPr>
      </w:pPr>
      <w:r>
        <w:rPr>
          <w:sz w:val="28"/>
        </w:rPr>
        <w:t>1.9 предоставление земельных участков, находящи</w:t>
      </w:r>
      <w:r>
        <w:rPr>
          <w:sz w:val="28"/>
        </w:rPr>
        <w:t>хся в муниципальной собственности, на торгах;</w:t>
      </w:r>
    </w:p>
    <w:p w14:paraId="1A000000">
      <w:pPr>
        <w:ind w:firstLine="709" w:left="0"/>
        <w:jc w:val="both"/>
        <w:rPr>
          <w:sz w:val="28"/>
        </w:rPr>
      </w:pPr>
      <w:r>
        <w:rPr>
          <w:sz w:val="28"/>
        </w:rPr>
        <w:t>1.10 предоставление земельных участков, находящихся в муниципальной собственности, без торгов;</w:t>
      </w:r>
    </w:p>
    <w:p w14:paraId="1B000000">
      <w:pPr>
        <w:ind w:firstLine="709" w:left="0"/>
        <w:jc w:val="both"/>
        <w:rPr>
          <w:sz w:val="28"/>
        </w:rPr>
      </w:pPr>
      <w:r>
        <w:rPr>
          <w:sz w:val="28"/>
        </w:rPr>
        <w:t>1.11 предоставление информации о деятельности органов местного самоуправления муниципального образования в Республике Карелия;</w:t>
      </w:r>
    </w:p>
    <w:p w14:paraId="1C000000">
      <w:pPr>
        <w:ind w:firstLine="709" w:left="0"/>
        <w:jc w:val="both"/>
        <w:rPr>
          <w:sz w:val="28"/>
        </w:rPr>
      </w:pPr>
      <w:r>
        <w:rPr>
          <w:sz w:val="28"/>
        </w:rPr>
        <w:t>1.12 предоставление муниципального имущества в собственность, аренду, в безвозмездное пользование, доверительное управление или на ином праве, предусматривающем переход прав владения и (или) пользования;</w:t>
      </w:r>
    </w:p>
    <w:p w14:paraId="1D000000">
      <w:pPr>
        <w:ind w:firstLine="709" w:left="0"/>
        <w:jc w:val="both"/>
        <w:rPr>
          <w:sz w:val="28"/>
        </w:rPr>
      </w:pPr>
      <w:r>
        <w:rPr>
          <w:sz w:val="28"/>
        </w:rPr>
        <w:t>1.13 присвоение объектам адресации адресов, аннулирование адресов</w:t>
      </w:r>
      <w:r>
        <w:rPr>
          <w:sz w:val="28"/>
        </w:rPr>
        <w:t>.</w:t>
      </w:r>
    </w:p>
    <w:p w14:paraId="1E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Опубликовать настоящее </w:t>
      </w:r>
      <w:r>
        <w:rPr>
          <w:sz w:val="28"/>
        </w:rPr>
        <w:t>постановление</w:t>
      </w:r>
      <w:r>
        <w:rPr>
          <w:sz w:val="28"/>
        </w:rPr>
        <w:t xml:space="preserve"> на официальном сайте</w:t>
      </w:r>
      <w:r>
        <w:rPr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 xml:space="preserve">дминистрации </w:t>
      </w:r>
      <w:r>
        <w:rPr>
          <w:sz w:val="28"/>
        </w:rPr>
        <w:t>Деревянкского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>.</w:t>
      </w:r>
    </w:p>
    <w:p w14:paraId="1F000000">
      <w:pPr>
        <w:spacing w:line="276" w:lineRule="auto"/>
        <w:ind/>
        <w:jc w:val="both"/>
        <w:rPr>
          <w:sz w:val="28"/>
        </w:rPr>
      </w:pPr>
    </w:p>
    <w:p w14:paraId="20000000">
      <w:pPr>
        <w:spacing w:line="276" w:lineRule="auto"/>
        <w:ind/>
        <w:jc w:val="both"/>
        <w:rPr>
          <w:sz w:val="28"/>
        </w:rPr>
      </w:pPr>
    </w:p>
    <w:p w14:paraId="21000000">
      <w:pPr>
        <w:ind/>
        <w:jc w:val="both"/>
        <w:rPr>
          <w:sz w:val="28"/>
        </w:rPr>
      </w:pPr>
    </w:p>
    <w:p w14:paraId="22000000">
      <w:pPr>
        <w:ind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Деревянкского</w:t>
      </w:r>
      <w:r>
        <w:rPr>
          <w:sz w:val="28"/>
        </w:rPr>
        <w:t xml:space="preserve"> </w:t>
      </w:r>
      <w:r>
        <w:rPr>
          <w:sz w:val="28"/>
        </w:rPr>
        <w:t>сельского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  </w:t>
      </w:r>
      <w:r>
        <w:rPr>
          <w:sz w:val="28"/>
        </w:rPr>
        <w:t xml:space="preserve">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 </w:t>
      </w:r>
      <w:r>
        <w:rPr>
          <w:sz w:val="28"/>
        </w:rPr>
        <w:t>М.А.</w:t>
      </w:r>
      <w:r>
        <w:rPr>
          <w:sz w:val="28"/>
        </w:rPr>
        <w:t xml:space="preserve"> </w:t>
      </w:r>
      <w:r>
        <w:rPr>
          <w:sz w:val="28"/>
        </w:rPr>
        <w:t>Пудина</w:t>
      </w:r>
      <w:r>
        <w:rPr>
          <w:sz w:val="28"/>
        </w:rPr>
        <w:t xml:space="preserve">   </w:t>
      </w:r>
    </w:p>
    <w:p w14:paraId="23000000">
      <w:pPr>
        <w:ind/>
        <w:jc w:val="both"/>
        <w:rPr>
          <w:sz w:val="28"/>
        </w:rPr>
      </w:pPr>
    </w:p>
    <w:p w14:paraId="24000000">
      <w:pPr>
        <w:ind/>
        <w:jc w:val="both"/>
        <w:rPr>
          <w:sz w:val="28"/>
        </w:rPr>
      </w:pPr>
    </w:p>
    <w:p w14:paraId="25000000">
      <w:pPr>
        <w:ind/>
        <w:jc w:val="both"/>
        <w:rPr>
          <w:sz w:val="28"/>
        </w:rPr>
      </w:pPr>
    </w:p>
    <w:p w14:paraId="26000000">
      <w:pPr>
        <w:ind/>
        <w:jc w:val="both"/>
        <w:rPr>
          <w:sz w:val="28"/>
        </w:rPr>
      </w:pPr>
    </w:p>
    <w:p w14:paraId="27000000">
      <w:pPr>
        <w:ind/>
        <w:jc w:val="both"/>
        <w:rPr>
          <w:sz w:val="28"/>
        </w:rPr>
      </w:pPr>
    </w:p>
    <w:p w14:paraId="28000000">
      <w:pPr>
        <w:ind/>
        <w:jc w:val="both"/>
        <w:rPr>
          <w:sz w:val="28"/>
        </w:rPr>
      </w:pPr>
    </w:p>
    <w:p w14:paraId="29000000">
      <w:pPr>
        <w:ind/>
        <w:jc w:val="both"/>
        <w:rPr>
          <w:sz w:val="28"/>
        </w:rPr>
      </w:pPr>
    </w:p>
    <w:p w14:paraId="2A000000">
      <w:pPr>
        <w:ind/>
        <w:jc w:val="both"/>
        <w:rPr>
          <w:sz w:val="28"/>
        </w:rPr>
      </w:pPr>
    </w:p>
    <w:p w14:paraId="2B000000">
      <w:pPr>
        <w:ind/>
        <w:jc w:val="both"/>
        <w:rPr>
          <w:sz w:val="28"/>
        </w:rPr>
      </w:pPr>
      <w:r>
        <w:rPr>
          <w:sz w:val="20"/>
        </w:rPr>
        <w:t xml:space="preserve"> </w:t>
      </w:r>
    </w:p>
    <w:p w14:paraId="2C000000">
      <w:pPr>
        <w:ind/>
        <w:jc w:val="both"/>
        <w:rPr>
          <w:sz w:val="28"/>
          <w:u w:val="single"/>
        </w:rPr>
      </w:pPr>
    </w:p>
    <w:sectPr>
      <w:pgSz w:h="16838" w:orient="portrait" w:w="11906"/>
      <w:pgMar w:bottom="568" w:footer="709" w:gutter="0" w:header="709" w:left="1701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1" w:type="paragraph">
    <w:name w:val="Font Style20"/>
    <w:link w:val="Style_1_ch"/>
    <w:rPr>
      <w:rFonts w:ascii="Times New Roman" w:hAnsi="Times New Roman"/>
      <w:sz w:val="18"/>
    </w:rPr>
  </w:style>
  <w:style w:styleId="Style_1_ch" w:type="character">
    <w:name w:val="Font Style20"/>
    <w:link w:val="Style_1"/>
    <w:rPr>
      <w:rFonts w:ascii="Times New Roman" w:hAnsi="Times New Roman"/>
      <w:sz w:val="18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2026-07-16T13:29:40Z</dcterms:modified>
</cp:coreProperties>
</file>