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8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  <w:highlight w:val="none"/>
        </w:rPr>
        <w:t xml:space="preserve">Карельский филиал ПАО «Россети северо-Запада информирует, что в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 2026 году несанкционированное подключение к электрическим сетям остаётся распространённым правонарушением. Граждане и организации используют устройства для остановки счётчиков или подключаются к сети в обход приборов учёта, стремясь сэкономить на оплате 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электроэнергии. За незаконное потребление электрической энергии предусмотрена административная и уголовная ответственность, в том числе по</w:t>
      </w:r>
      <w:r>
        <w:rPr>
          <w:rFonts w:ascii="Arial" w:hAnsi="Arial" w:eastAsia="Arial" w:cs="Arial"/>
          <w:color w:val="1f2937"/>
          <w:sz w:val="26"/>
          <w:highlight w:val="none"/>
        </w:rPr>
        <w:t xml:space="preserve"> </w:t>
      </w:r>
      <w:hyperlink r:id="rId9" w:tooltip="https://www.consultant.ru/document/cons_doc_LAW_10699/598fbbd993948ff493e853c0845161561b01f0a5/" w:history="1">
        <w:r>
          <w:rPr>
            <w:rStyle w:val="839"/>
            <w:rFonts w:ascii="Arial" w:hAnsi="Arial" w:eastAsia="Arial" w:cs="Arial"/>
            <w:color w:val="0045b8"/>
            <w:sz w:val="26"/>
            <w:highlight w:val="white"/>
            <w:u w:val="none"/>
          </w:rPr>
          <w:t xml:space="preserve">статье 165 УК РФ</w:t>
        </w:r>
      </w:hyperlink>
      <w:r>
        <w:rPr>
          <w:rFonts w:ascii="Arial" w:hAnsi="Arial" w:eastAsia="Arial" w:cs="Arial"/>
          <w:color w:val="1f2937"/>
          <w:sz w:val="26"/>
          <w:highlight w:val="white"/>
        </w:rPr>
        <w:t xml:space="preserve">.</w:t>
      </w:r>
      <w:r/>
    </w:p>
    <w:p>
      <w:pPr>
        <w:pStyle w:val="679"/>
        <w:ind w:left="0" w:right="0" w:firstLine="0"/>
        <w:jc w:val="both"/>
        <w:spacing w:line="74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Что такое хищение электроэнергии?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Кража электроэнергии — это потребление энергоресурсов незаконным путём без заключения договора или с использованием способов, искажающих показания приборов учёта.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  Услуга предоставляется платно по тарифам, утверждённым органами власти. Несанкционированное использование электроэнергии наносит ущерб поставщику и государству. Правила выявления самовольного подключения установлен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ы </w:t>
      </w:r>
      <w:hyperlink r:id="rId10" w:tooltip="https://www.consultant.ru/document/cons_doc_LAW_130498/" w:history="1">
        <w:r>
          <w:rPr>
            <w:rStyle w:val="839"/>
            <w:rFonts w:ascii="Arial" w:hAnsi="Arial" w:eastAsia="Arial" w:cs="Arial"/>
            <w:color w:val="0045b8"/>
            <w:sz w:val="26"/>
            <w:highlight w:val="white"/>
            <w:u w:val="none"/>
          </w:rPr>
          <w:t xml:space="preserve">Постановлением Правительства РФ № 442 от 04.05.2013</w:t>
        </w:r>
      </w:hyperlink>
      <w:r>
        <w:rPr>
          <w:rFonts w:ascii="Arial" w:hAnsi="Arial" w:eastAsia="Arial" w:cs="Arial"/>
          <w:color w:val="1f2937"/>
          <w:sz w:val="26"/>
          <w:highlight w:val="none"/>
        </w:rPr>
        <w:t xml:space="preserve"> 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(ред. от 13.08.2018).</w:t>
      </w: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Ответственность зависит от размера причинённого ущерба и делится на:</w:t>
      </w:r>
      <w:r/>
    </w:p>
    <w:p>
      <w:pPr>
        <w:pStyle w:val="858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гражданско-правовую (возмещение убытков);</w:t>
      </w:r>
      <w:r/>
    </w:p>
    <w:p>
      <w:pPr>
        <w:pStyle w:val="858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административную (штрафы по КоАП РФ);</w:t>
      </w:r>
      <w:r/>
    </w:p>
    <w:p>
      <w:pPr>
        <w:pStyle w:val="858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уголовную (наказание по УК РФ).</w:t>
      </w:r>
      <w:r/>
    </w:p>
    <w:p>
      <w:pPr>
        <w:pStyle w:val="679"/>
        <w:contextualSpacing w:val="0"/>
        <w:ind w:left="0" w:right="0" w:firstLine="0"/>
        <w:jc w:val="both"/>
        <w:spacing w:before="360" w:after="20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</w:rPr>
        <w:t xml:space="preserve">Административная ответственность за хищение электроэнергии</w:t>
      </w:r>
      <w:r>
        <w:rPr>
          <w:rFonts w:ascii="Times New Roman" w:hAnsi="Times New Roman" w:eastAsia="Times New Roman" w:cs="Times New Roman"/>
          <w:b/>
          <w:bCs/>
          <w:color w:val="000000"/>
          <w:highlight w:val="none"/>
        </w:rPr>
      </w:r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  <w:highlight w:val="white"/>
        </w:rPr>
        <w:t xml:space="preserve">К административной ответственности привлекаются лица за самовольное подключение к электрическим сетям и незаконное использование энергоресурсов, если действия не содержат признаков уголовного преступления.</w:t>
      </w:r>
      <w:r/>
    </w:p>
    <w:p>
      <w:pPr>
        <w:pStyle w:val="680"/>
        <w:ind w:left="0" w:right="0" w:firstLine="0"/>
        <w:spacing w:line="74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Размер штрафа по КоАП РФ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  <w:highlight w:val="white"/>
        </w:rPr>
        <w:t xml:space="preserve">Административная ответственность предусмотрена </w:t>
      </w:r>
      <w:hyperlink r:id="rId11" w:tooltip="https://www.consultant.ru/document/cons_doc_LAW_34661/04841feea5ff9801975555b134a3bc7e1fa721e6/" w:history="1">
        <w:r>
          <w:rPr>
            <w:rStyle w:val="839"/>
            <w:rFonts w:ascii="Arial" w:hAnsi="Arial" w:eastAsia="Arial" w:cs="Arial"/>
            <w:color w:val="0045b8"/>
            <w:sz w:val="26"/>
            <w:highlight w:val="white"/>
            <w:u w:val="none"/>
          </w:rPr>
          <w:t xml:space="preserve">статьёй 7.19 КоАП РФ</w:t>
        </w:r>
      </w:hyperlink>
      <w:r>
        <w:rPr>
          <w:rFonts w:ascii="Arial" w:hAnsi="Arial" w:eastAsia="Arial" w:cs="Arial"/>
          <w:color w:val="1f2937"/>
          <w:sz w:val="26"/>
          <w:highlight w:val="white"/>
        </w:rPr>
        <w:t xml:space="preserve"> и накладывается в виде штрафа:</w:t>
      </w:r>
      <w:r/>
    </w:p>
    <w:tbl>
      <w:tblPr>
        <w:tblStyle w:val="71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657"/>
        <w:gridCol w:w="2724"/>
        <w:gridCol w:w="397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6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ffffff"/>
                <w:spacing w:val="7"/>
              </w:rPr>
              <w:t xml:space="preserve">Категория нарушителя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72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ffffff"/>
                <w:spacing w:val="7"/>
              </w:rPr>
              <w:t xml:space="preserve">Размер штрафа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397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ffffff"/>
                <w:spacing w:val="7"/>
              </w:rPr>
              <w:t xml:space="preserve">Дополнительные меры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657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Физические лица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72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От 10 000 до 15 000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397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—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657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Должностные лица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72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От 30 000 до 80 000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397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Возможна дисквалификация на срок до 2 лет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657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Юридические лица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272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От 100 000 до 200 000 рублей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25" w:type="dxa"/>
              <w:top w:w="180" w:type="dxa"/>
              <w:right w:w="225" w:type="dxa"/>
              <w:bottom w:w="180" w:type="dxa"/>
            </w:tcMar>
            <w:tcW w:w="3974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Arial" w:hAnsi="Arial" w:eastAsia="Arial" w:cs="Arial"/>
                <w:color w:val="000000"/>
                <w:sz w:val="23"/>
              </w:rPr>
              <w:t xml:space="preserve">—</w:t>
            </w:r>
            <w:r/>
          </w:p>
        </w:tc>
      </w:tr>
    </w:tbl>
    <w:p>
      <w:pPr>
        <w:pStyle w:val="679"/>
        <w:ind w:left="0" w:right="0" w:firstLine="0"/>
        <w:spacing w:line="74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Уголовная ответственность по статье 165 УК РФ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  <w:highlight w:val="white"/>
        </w:rPr>
        <w:t xml:space="preserve">Уголовное наказание наступает при причинении ущерба в крупном или особо крупном размере. Согласно примечанию к</w:t>
      </w:r>
      <w:r>
        <w:rPr>
          <w:rFonts w:ascii="Arial" w:hAnsi="Arial" w:eastAsia="Arial" w:cs="Arial"/>
          <w:color w:val="1f2937"/>
          <w:sz w:val="26"/>
          <w:highlight w:val="none"/>
        </w:rPr>
        <w:t xml:space="preserve"> </w:t>
      </w:r>
      <w:hyperlink r:id="rId12" w:tooltip="https://www.consultant.ru/document/cons_doc_LAW_10699/598fbbd993948ff493e853c0845161561b01f0a5/" w:history="1">
        <w:r>
          <w:rPr>
            <w:rStyle w:val="839"/>
            <w:rFonts w:ascii="Arial" w:hAnsi="Arial" w:eastAsia="Arial" w:cs="Arial"/>
            <w:color w:val="0045b8"/>
            <w:sz w:val="26"/>
            <w:highlight w:val="white"/>
            <w:u w:val="none"/>
          </w:rPr>
          <w:t xml:space="preserve">статье 165 УК РФ</w:t>
        </w:r>
      </w:hyperlink>
      <w:r>
        <w:rPr>
          <w:rFonts w:ascii="Arial" w:hAnsi="Arial" w:eastAsia="Arial" w:cs="Arial"/>
          <w:color w:val="1f2937"/>
          <w:sz w:val="26"/>
          <w:highlight w:val="white"/>
        </w:rPr>
        <w:t xml:space="preserve">, крупным размером признаётся ущерб свыше 250 000 рублей, особо крупным — свыше 1 000 000 рублей.</w:t>
      </w:r>
      <w:r/>
    </w:p>
    <w:p>
      <w:pPr>
        <w:pStyle w:val="680"/>
        <w:ind w:left="0" w:right="0" w:firstLine="0"/>
        <w:spacing w:line="74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Наказание по части 1 статьи 165 УК РФ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За причинение имущественного ущерба путём обмана или злоупотребления доверием при отсутствии признаков хищения предусмотрено:</w:t>
      </w:r>
      <w:r/>
    </w:p>
    <w:p>
      <w:pPr>
        <w:pStyle w:val="858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Штраф до 300 000 рублей или в размере заработной платы (иного дохода) за период до 2 лет.</w:t>
      </w:r>
      <w:r/>
    </w:p>
    <w:p>
      <w:pPr>
        <w:pStyle w:val="858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Принудительные работы на срок до 2 лет с ограничением свободы до 1 года или без такового.</w:t>
      </w:r>
      <w:r/>
    </w:p>
    <w:p>
      <w:pPr>
        <w:pStyle w:val="858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Лишение свободы на срок до 2 лет со штрафом до 80 000 рублей или в размере заработной платы (иного дохода) за период до 6 месяцев или без такового и с ограничением свободы до 1 года или без такового.</w:t>
      </w:r>
      <w:r/>
    </w:p>
    <w:p>
      <w:pPr>
        <w:pStyle w:val="680"/>
        <w:ind w:left="0" w:right="0" w:firstLine="0"/>
        <w:spacing w:line="74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Наказание по части 2 статьи 165 УК РФ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Деяние, совершённое группой лиц по предварительному сговору либо организованной группой или причинившее особо крупный ущерб, наказывается:</w:t>
      </w:r>
      <w:r/>
    </w:p>
    <w:p>
      <w:pPr>
        <w:pStyle w:val="858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Принудительными работами на срок до 5 лет с ограничением свободы до 2 лет или без такового.</w:t>
      </w:r>
      <w:r/>
    </w:p>
    <w:p>
      <w:pPr>
        <w:pStyle w:val="858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Лишением свободы на срок до 5 лет со штрафом до 80 000 рублей или в размере заработной платы (иного дохода) за период до 6 месяцев или без такового и с ограничением свободы до 2 лет или без такового.</w:t>
      </w:r>
      <w:r/>
    </w:p>
    <w:p>
      <w:pPr>
        <w:jc w:val="both"/>
        <w:rPr>
          <w:rFonts w:ascii="Arial" w:hAnsi="Arial" w:eastAsia="Arial" w:cs="Arial"/>
          <w:color w:val="1f2937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Можно ли избежать ответственности, если добровольно возместить ущерб?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Arial" w:hAnsi="Arial" w:eastAsia="Arial" w:cs="Arial"/>
          <w:color w:val="1f2937"/>
          <w:sz w:val="26"/>
          <w:szCs w:val="26"/>
          <w:highlight w:val="none"/>
        </w:rPr>
      </w:r>
    </w:p>
    <w:p>
      <w:pPr>
        <w:jc w:val="both"/>
        <w:rPr>
          <w:rFonts w:ascii="Arial" w:hAnsi="Arial" w:eastAsia="Arial" w:cs="Arial"/>
          <w:color w:val="1f2937"/>
          <w:sz w:val="26"/>
          <w:szCs w:val="26"/>
          <w:highlight w:val="none"/>
        </w:rPr>
      </w:pP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Добровольное возмещение ущерба не освобождает от административной или уголовной ответственности, но является смягчающим обстоятельством. Суд может учесть этот факт при назначении наказания и применить более мягкую меру (например, штраф вместо лишения свобо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ды). В некоторых случаях при малозначительности правонарушения и полном возмещении ущерба дело может быть прекращено.</w:t>
      </w: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color w:val="1f2937"/>
          <w:sz w:val="26"/>
          <w:szCs w:val="26"/>
          <w:highlight w:val="none"/>
        </w:rPr>
      </w:r>
    </w:p>
    <w:p>
      <w:pPr>
        <w:jc w:val="both"/>
        <w:rPr>
          <w:rFonts w:ascii="Arial" w:hAnsi="Arial" w:eastAsia="Arial" w:cs="Arial"/>
          <w:color w:val="1f2937"/>
          <w:sz w:val="26"/>
          <w:szCs w:val="26"/>
          <w:highlight w:val="none"/>
        </w:rPr>
      </w:pP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Какой срок давности привлечения к ответственности за хищение электроэнергии в 2026 году?</w:t>
      </w: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color w:val="1f2937"/>
          <w:sz w:val="26"/>
          <w:szCs w:val="26"/>
          <w:highlight w:val="none"/>
        </w:rPr>
      </w:r>
    </w:p>
    <w:p>
      <w:pPr>
        <w:jc w:val="both"/>
        <w:rPr>
          <w:rFonts w:ascii="Arial" w:hAnsi="Arial" w:eastAsia="Arial" w:cs="Arial"/>
          <w:color w:val="1f2937"/>
          <w:sz w:val="26"/>
          <w:szCs w:val="26"/>
          <w:highlight w:val="none"/>
        </w:rPr>
      </w:pP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Для административной ответственности по статье 7.19 КоАП РФ срок давности составляет 1 год со дня совершения правонарушения. Для уголовной ответственности по части 1 статьи 165 УК РФ срок давности составляет 2 года, по части 2 — 6 лет. Срок исчисляется со </w:t>
      </w:r>
      <w:r>
        <w:rPr>
          <w:rFonts w:ascii="Arial" w:hAnsi="Arial" w:eastAsia="Arial" w:cs="Arial"/>
          <w:color w:val="1f2937"/>
          <w:sz w:val="26"/>
          <w:highlight w:val="white"/>
        </w:rPr>
        <w:t xml:space="preserve">дня совершения преступления до момента вступления приговора суда в законную силу.</w:t>
      </w: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Arial" w:hAnsi="Arial" w:eastAsia="Arial" w:cs="Arial"/>
          <w:color w:val="1f2937"/>
          <w:sz w:val="26"/>
          <w:szCs w:val="26"/>
          <w:highlight w:val="none"/>
        </w:rPr>
      </w:r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Можно ли привлечь к ответственности арендатора, если хищение электроэнергии обнаружено в арендуемом помещении?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Да, к ответственности привлекается лицо, фактически использующее электроэнергию, то есть арендатор. Однако собственник помещения также может нести гражданско-правовую ответственность по возмещению ущерба, если договор энергоснабжения заключён на его имя. В</w:t>
      </w:r>
      <w:r>
        <w:rPr>
          <w:rFonts w:ascii="Arial" w:hAnsi="Arial" w:eastAsia="Arial" w:cs="Arial"/>
          <w:color w:val="1f2937"/>
          <w:sz w:val="26"/>
        </w:rPr>
        <w:t xml:space="preserve"> этом случае собственник вправе предъявить регрессное требование к арендатору.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1f2937"/>
          <w:sz w:val="26"/>
          <w:highlight w:val="white"/>
        </w:rPr>
        <w:t xml:space="preserve">Что грозит за повторное хищение электроэнергии?</w:t>
      </w:r>
      <w:r/>
    </w:p>
    <w:p>
      <w:pPr>
        <w:ind w:left="0" w:right="0" w:firstLine="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1f2937"/>
          <w:sz w:val="26"/>
        </w:rPr>
        <w:t xml:space="preserve">Повторное хищение электроэнергии является отягчающим обстоятельством и влечёт более строгое наказание. При административной ответственности размер штрафа назначается ближе к максимальному пределу. При уголовной ответственности суд может назначить реальное </w:t>
      </w:r>
      <w:r>
        <w:rPr>
          <w:rFonts w:ascii="Arial" w:hAnsi="Arial" w:eastAsia="Arial" w:cs="Arial"/>
          <w:color w:val="1f2937"/>
          <w:sz w:val="26"/>
        </w:rPr>
        <w:t xml:space="preserve">лишение свободы вместо условного срока или штрафа. Кроме того, повторное хищение может квалифицироваться как совершение преступления лицом, ранее судимым за аналогичное деяние.</w:t>
      </w:r>
      <w:r/>
    </w:p>
    <w:p>
      <w:pPr>
        <w:jc w:val="both"/>
        <w:rPr>
          <w:rFonts w:ascii="Arial" w:hAnsi="Arial" w:cs="Arial"/>
          <w:b/>
          <w:bCs/>
          <w:i w:val="0"/>
          <w:iCs w:val="0"/>
          <w:color w:val="003366"/>
          <w:sz w:val="26"/>
          <w:szCs w:val="26"/>
          <w:u w:val="single"/>
        </w:rPr>
      </w:pPr>
      <w:r>
        <w:rPr>
          <w:rFonts w:ascii="Arial" w:hAnsi="Arial" w:eastAsia="Arial" w:cs="Arial"/>
          <w:i w:val="0"/>
          <w:iCs w:val="0"/>
          <w:color w:val="1f2937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i w:val="0"/>
          <w:iCs w:val="0"/>
          <w:color w:val="333333"/>
          <w:sz w:val="26"/>
          <w:szCs w:val="26"/>
          <w:highlight w:val="white"/>
        </w:rPr>
        <w:t xml:space="preserve">Энергетики просят сообщать о фактах хищения электроэнергии по </w:t>
      </w:r>
      <w:r>
        <w:rPr>
          <w:rFonts w:ascii="Arial" w:hAnsi="Arial" w:eastAsia="Arial" w:cs="Arial"/>
          <w:b/>
          <w:bCs/>
          <w:i w:val="0"/>
          <w:iCs w:val="0"/>
          <w:sz w:val="26"/>
          <w:szCs w:val="26"/>
        </w:rPr>
        <w:t xml:space="preserve">телефону доверия Карельского филиала </w:t>
      </w:r>
      <w:r>
        <w:rPr>
          <w:rFonts w:ascii="Arial" w:hAnsi="Arial" w:eastAsia="Arial" w:cs="Arial"/>
          <w:b/>
          <w:bCs/>
          <w:i w:val="0"/>
          <w:iCs w:val="0"/>
          <w:sz w:val="26"/>
          <w:szCs w:val="26"/>
        </w:rPr>
        <w:t xml:space="preserve">(8142) 59-90-90</w:t>
      </w:r>
      <w:r>
        <w:rPr>
          <w:rFonts w:ascii="Arial" w:hAnsi="Arial" w:eastAsia="Arial" w:cs="Arial"/>
          <w:b/>
          <w:bCs/>
          <w:i w:val="0"/>
          <w:iCs w:val="0"/>
          <w:sz w:val="26"/>
          <w:szCs w:val="26"/>
        </w:rPr>
        <w:t xml:space="preserve"> – круглосуточно, бесплатно, конфиденциально.</w:t>
      </w:r>
      <w:r>
        <w:rPr>
          <w:rFonts w:ascii="Arial" w:hAnsi="Arial" w:eastAsia="Arial" w:cs="Arial"/>
          <w:i w:val="0"/>
          <w:iCs w:val="0"/>
          <w:color w:val="1f2937"/>
          <w:sz w:val="26"/>
          <w:szCs w:val="26"/>
          <w:highlight w:val="none"/>
        </w:rPr>
      </w:r>
      <w:r>
        <w:rPr>
          <w:rFonts w:ascii="Arial" w:hAnsi="Arial" w:cs="Arial"/>
          <w:b/>
          <w:bCs/>
          <w:i w:val="0"/>
          <w:iCs w:val="0"/>
          <w:color w:val="003366"/>
          <w:sz w:val="26"/>
          <w:szCs w:val="26"/>
          <w:u w:val="singl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3366"/>
          <w:sz w:val="28"/>
          <w:szCs w:val="28"/>
          <w:u w:val="single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5519" cy="457053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890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5845519" cy="4570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0.28pt;height:359.88pt;mso-wrap-distance-left:0.00pt;mso-wrap-distance-top:0.00pt;mso-wrap-distance-right:0.00pt;mso-wrap-distance-bottom:0.00pt;rotation:0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3366"/>
          <w:sz w:val="28"/>
          <w:szCs w:val="28"/>
          <w:u w:val="single"/>
        </w:rPr>
        <w:t xml:space="preserve">               </w:t>
      </w:r>
      <w:r>
        <w:rPr>
          <w:rFonts w:ascii="Arial" w:hAnsi="Arial" w:eastAsia="Arial" w:cs="Arial"/>
          <w:color w:val="1f2937"/>
          <w:sz w:val="26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687"/>
    <w:link w:val="679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687"/>
    <w:link w:val="699"/>
    <w:uiPriority w:val="10"/>
    <w:rPr>
      <w:sz w:val="48"/>
      <w:szCs w:val="48"/>
    </w:rPr>
  </w:style>
  <w:style w:type="character" w:styleId="670">
    <w:name w:val="Subtitle Char"/>
    <w:basedOn w:val="687"/>
    <w:link w:val="701"/>
    <w:uiPriority w:val="11"/>
    <w:rPr>
      <w:sz w:val="24"/>
      <w:szCs w:val="24"/>
    </w:rPr>
  </w:style>
  <w:style w:type="character" w:styleId="671">
    <w:name w:val="Quote Char"/>
    <w:link w:val="703"/>
    <w:uiPriority w:val="29"/>
    <w:rPr>
      <w:i/>
    </w:rPr>
  </w:style>
  <w:style w:type="character" w:styleId="672">
    <w:name w:val="Intense Quote Char"/>
    <w:link w:val="705"/>
    <w:uiPriority w:val="30"/>
    <w:rPr>
      <w:i/>
    </w:rPr>
  </w:style>
  <w:style w:type="character" w:styleId="673">
    <w:name w:val="Header Char"/>
    <w:basedOn w:val="687"/>
    <w:link w:val="707"/>
    <w:uiPriority w:val="99"/>
  </w:style>
  <w:style w:type="character" w:styleId="674">
    <w:name w:val="Caption Char"/>
    <w:basedOn w:val="711"/>
    <w:link w:val="709"/>
    <w:uiPriority w:val="99"/>
  </w:style>
  <w:style w:type="character" w:styleId="675">
    <w:name w:val="Footnote Text Char"/>
    <w:link w:val="840"/>
    <w:uiPriority w:val="99"/>
    <w:rPr>
      <w:sz w:val="18"/>
    </w:rPr>
  </w:style>
  <w:style w:type="character" w:styleId="676">
    <w:name w:val="Endnote Text Char"/>
    <w:link w:val="843"/>
    <w:uiPriority w:val="99"/>
    <w:rPr>
      <w:sz w:val="20"/>
    </w:rPr>
  </w:style>
  <w:style w:type="paragraph" w:styleId="677" w:default="1">
    <w:name w:val="Normal"/>
    <w:qFormat/>
  </w:style>
  <w:style w:type="paragraph" w:styleId="678">
    <w:name w:val="Heading 1"/>
    <w:basedOn w:val="677"/>
    <w:next w:val="677"/>
    <w:link w:val="69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69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Заголовок 1 Знак"/>
    <w:link w:val="678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link w:val="679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link w:val="680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Title"/>
    <w:basedOn w:val="677"/>
    <w:next w:val="677"/>
    <w:link w:val="700"/>
    <w:uiPriority w:val="10"/>
    <w:qFormat/>
    <w:pPr>
      <w:contextualSpacing/>
      <w:spacing w:before="300"/>
    </w:pPr>
    <w:rPr>
      <w:sz w:val="48"/>
      <w:szCs w:val="48"/>
    </w:rPr>
  </w:style>
  <w:style w:type="character" w:styleId="700" w:customStyle="1">
    <w:name w:val="Заголовок Знак"/>
    <w:link w:val="699"/>
    <w:uiPriority w:val="10"/>
    <w:rPr>
      <w:sz w:val="48"/>
      <w:szCs w:val="48"/>
    </w:rPr>
  </w:style>
  <w:style w:type="paragraph" w:styleId="701">
    <w:name w:val="Subtitle"/>
    <w:basedOn w:val="677"/>
    <w:next w:val="677"/>
    <w:link w:val="702"/>
    <w:uiPriority w:val="11"/>
    <w:qFormat/>
    <w:pPr>
      <w:spacing w:before="200"/>
    </w:pPr>
    <w:rPr>
      <w:sz w:val="24"/>
      <w:szCs w:val="24"/>
    </w:rPr>
  </w:style>
  <w:style w:type="character" w:styleId="702" w:customStyle="1">
    <w:name w:val="Подзаголовок Знак"/>
    <w:link w:val="701"/>
    <w:uiPriority w:val="11"/>
    <w:rPr>
      <w:sz w:val="24"/>
      <w:szCs w:val="24"/>
    </w:rPr>
  </w:style>
  <w:style w:type="paragraph" w:styleId="703">
    <w:name w:val="Quote"/>
    <w:basedOn w:val="677"/>
    <w:next w:val="677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77"/>
    <w:next w:val="677"/>
    <w:link w:val="7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7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Верхний колонтитул Знак"/>
    <w:link w:val="707"/>
    <w:uiPriority w:val="99"/>
  </w:style>
  <w:style w:type="paragraph" w:styleId="709">
    <w:name w:val="Footer"/>
    <w:basedOn w:val="677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Footer Char"/>
    <w:uiPriority w:val="99"/>
  </w:style>
  <w:style w:type="paragraph" w:styleId="711">
    <w:name w:val="Caption"/>
    <w:basedOn w:val="677"/>
    <w:next w:val="67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2" w:customStyle="1">
    <w:name w:val="Нижний колонтитул Знак"/>
    <w:link w:val="709"/>
    <w:uiPriority w:val="99"/>
  </w:style>
  <w:style w:type="table" w:styleId="713">
    <w:name w:val="Table Grid"/>
    <w:basedOn w:val="68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4" w:customStyle="1">
    <w:name w:val="Table Grid Light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6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3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4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5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6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7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8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7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8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9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0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1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6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7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8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9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0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1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0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1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2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3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4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5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7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8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9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0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1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2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4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5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6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7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8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563c1" w:themeColor="hyperlink"/>
      <w:u w:val="single"/>
    </w:rPr>
  </w:style>
  <w:style w:type="paragraph" w:styleId="840">
    <w:name w:val="footnote text"/>
    <w:basedOn w:val="67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67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677"/>
    <w:next w:val="677"/>
    <w:uiPriority w:val="39"/>
    <w:unhideWhenUsed/>
    <w:pPr>
      <w:spacing w:after="57"/>
    </w:pPr>
  </w:style>
  <w:style w:type="paragraph" w:styleId="847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48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49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50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51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52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53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54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77"/>
    <w:next w:val="677"/>
    <w:uiPriority w:val="99"/>
    <w:unhideWhenUsed/>
    <w:pPr>
      <w:spacing w:after="0"/>
    </w:pPr>
  </w:style>
  <w:style w:type="paragraph" w:styleId="857">
    <w:name w:val="No Spacing"/>
    <w:basedOn w:val="677"/>
    <w:uiPriority w:val="1"/>
    <w:qFormat/>
    <w:pPr>
      <w:spacing w:after="0" w:line="240" w:lineRule="auto"/>
    </w:pPr>
  </w:style>
  <w:style w:type="paragraph" w:styleId="858">
    <w:name w:val="List Paragraph"/>
    <w:basedOn w:val="67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consultant.ru/document/cons_doc_LAW_10699/598fbbd993948ff493e853c0845161561b01f0a5/" TargetMode="External"/><Relationship Id="rId10" Type="http://schemas.openxmlformats.org/officeDocument/2006/relationships/hyperlink" Target="https://www.consultant.ru/document/cons_doc_LAW_130498/" TargetMode="External"/><Relationship Id="rId11" Type="http://schemas.openxmlformats.org/officeDocument/2006/relationships/hyperlink" Target="https://www.consultant.ru/document/cons_doc_LAW_34661/04841feea5ff9801975555b134a3bc7e1fa721e6/" TargetMode="External"/><Relationship Id="rId12" Type="http://schemas.openxmlformats.org/officeDocument/2006/relationships/hyperlink" Target="https://www.consultant.ru/document/cons_doc_LAW_10699/598fbbd993948ff493e853c0845161561b01f0a5/" TargetMode="External"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created xsi:type="dcterms:W3CDTF">2026-01-19T12:46:00Z</dcterms:created>
  <dcterms:modified xsi:type="dcterms:W3CDTF">2026-05-07T07:05:12Z</dcterms:modified>
</cp:coreProperties>
</file>