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12121"/>
          <w:sz w:val="28"/>
          <w:szCs w:val="28"/>
        </w:rPr>
        <w:t xml:space="preserve">В десять раз дороже станет вмешательство в работу электрического счетчика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71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Georgia" w:hAnsi="Georgia" w:eastAsia="Georgia" w:cs="Georgia"/>
          <w:color w:val="212121"/>
          <w:sz w:val="24"/>
        </w:rPr>
        <w:t xml:space="preserve"> </w:t>
      </w:r>
      <w:r/>
    </w:p>
    <w:p>
      <w:pPr>
        <w:jc w:val="both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Скрыть вмешательство в работу прибора учета электроэнергии практически невозможно, а получить штраф за срыв пломбы, установленный магнит или другие корыстные 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манипуляции  со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 счётчиком – неизбежно, предупреждают специалисты Карельского филиала ПАО «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Россети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Северо-Запад».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eastAsia="Times New Roman" w:cs="Times New Roman"/>
          <w:color w:val="21212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Потребители коммунальных услуг, использующие приборы учёта, несут определённую ответственность и обязанности. Эти обязанности прописаны в постановлении Правительства РФ от 06.05.2011 № 354. В частности, потребители должны допускать в жилое п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омещение в установленном порядке представителей исполнителя коммунальных услуг.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Сотрудники сетевой организации в Республике Карелия регулярно проводят проверочные обходы. Во время одного из таких рейдов было выявлено вмешательство в работу прибора учета эл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ектрической энергии - установлено устройство, не предусмотренное заводом-изготовителем. Это позволило исказить объем потребленной электрической энергии.  В результате был составлен акт вмешательства в работу прибору учета и произведено доначисление в объем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е 6508 кВт*ч. к начисленному ранее. Сумма к оплате превысила 35 тысяч рублей.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Проверки проводятся для контроля правильности и достоверности съёма показаний потребителем, а также с целью пресечения несанкционированного вмешательства в работу приборов учёта.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Кроме этого,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с целью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контроля и исключения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возможных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фактов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несанкционированного вмешательства в работу приборов учёта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 устанавливаются ко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нтрольные пломбы и индикаторы антимагнитных пломб, пломбы и устройства, позволяющие фиксировать факт несанкционированного вмешательства в работу прибора учета, а также конструкции, защищающие приборы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учета от несанкционированного вмешательства в их работу.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eastAsia="Times New Roman" w:cs="Times New Roman"/>
          <w:color w:val="21212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В случае выявления фактов несанкционированного вмешательства – а счётчики устроены так, что скрыть эти факты практически невозможно, в отношении потребителя составляется акт о неучтённом потреблении и производится пересчет объёма потребления для доначис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ления.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Для перерасчёта берётся период, начиная с даты установки указанных пломб или устройств, но не ранее чем с даты проведения исполнителем предыдущей проверки и не более чем за три месяца, предшествующие дате проверки прибора учета, при которой выявлено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 несанкционированное вмешательство в работу прибора учета, и до даты устранения такого вмешательства. При этом объем – это количество 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киловатт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-часов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, который</w:t>
      </w:r>
      <w:r>
        <w:rPr>
          <w:rFonts w:ascii="Times New Roman" w:hAnsi="Times New Roman" w:eastAsia="Times New Roman" w:cs="Times New Roman"/>
          <w:color w:val="21212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рассчитывается на основании нормативов потребления соответствующих коммунальных услуг с применением повышающего коэфф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ициента 10. Рассчитанный объём неучтённого потребления предъявляется для его оплаты. В случае отказа потребителя от оплаты, такой объём взыскивается в судебном порядке. В этом случае плюсуются ещё и судебные издержки.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line="71" w:lineRule="atLeast"/>
        <w:shd w:val="clear" w:color="ffffff" w:fill="ffffff"/>
        <w:rPr>
          <w:rFonts w:ascii="Times New Roman" w:hAnsi="Times New Roman" w:eastAsia="Times New Roman" w:cs="Times New Roman"/>
          <w:color w:val="21212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Энергетики советуют не играть в опасны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е игры, ведь кроме денежного наказания, несанкционированное вмешательство в работу приборов учёта может повлечь и аварийные последствия, в результате которых могут пострадать соседи и общедомовое имущество, и даже обернуться пожаром. А это уже совсем друга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  <w:t xml:space="preserve">я ответственность – вплоть до уголовной.</w:t>
      </w:r>
      <w:r>
        <w:rPr>
          <w:rFonts w:ascii="Times New Roman" w:hAnsi="Times New Roman" w:eastAsia="Times New Roman" w:cs="Times New Roman"/>
          <w:color w:val="212121"/>
          <w:sz w:val="28"/>
          <w:szCs w:val="28"/>
        </w:rPr>
      </w:r>
    </w:p>
    <w:p>
      <w:pPr>
        <w:jc w:val="both"/>
        <w:spacing w:line="71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9815" cy="570515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6051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9733" t="11952" r="68781" b="17924"/>
                        <a:stretch/>
                      </pic:blipFill>
                      <pic:spPr bwMode="auto">
                        <a:xfrm>
                          <a:off x="0" y="0"/>
                          <a:ext cx="5959813" cy="5705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9.28pt;height:449.2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5"/>
    <w:uiPriority w:val="10"/>
    <w:rPr>
      <w:sz w:val="48"/>
      <w:szCs w:val="48"/>
    </w:rPr>
  </w:style>
  <w:style w:type="character" w:styleId="37">
    <w:name w:val="Subtitle Char"/>
    <w:basedOn w:val="663"/>
    <w:link w:val="677"/>
    <w:uiPriority w:val="11"/>
    <w:rPr>
      <w:sz w:val="24"/>
      <w:szCs w:val="24"/>
    </w:rPr>
  </w:style>
  <w:style w:type="character" w:styleId="39">
    <w:name w:val="Quote Char"/>
    <w:link w:val="679"/>
    <w:uiPriority w:val="29"/>
    <w:rPr>
      <w:i/>
    </w:rPr>
  </w:style>
  <w:style w:type="character" w:styleId="41">
    <w:name w:val="Intense Quote Char"/>
    <w:link w:val="681"/>
    <w:uiPriority w:val="30"/>
    <w:rPr>
      <w:i/>
    </w:rPr>
  </w:style>
  <w:style w:type="character" w:styleId="43">
    <w:name w:val="Header Char"/>
    <w:basedOn w:val="663"/>
    <w:link w:val="683"/>
    <w:uiPriority w:val="99"/>
  </w:style>
  <w:style w:type="character" w:styleId="47">
    <w:name w:val="Caption Char"/>
    <w:basedOn w:val="687"/>
    <w:link w:val="685"/>
    <w:uiPriority w:val="99"/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653"/>
    <w:next w:val="653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Заголовок Знак"/>
    <w:link w:val="675"/>
    <w:uiPriority w:val="10"/>
    <w:rPr>
      <w:sz w:val="48"/>
      <w:szCs w:val="48"/>
    </w:rPr>
  </w:style>
  <w:style w:type="paragraph" w:styleId="677">
    <w:name w:val="Subtitle"/>
    <w:basedOn w:val="653"/>
    <w:next w:val="653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link w:val="677"/>
    <w:uiPriority w:val="11"/>
    <w:rPr>
      <w:sz w:val="24"/>
      <w:szCs w:val="24"/>
    </w:rPr>
  </w:style>
  <w:style w:type="paragraph" w:styleId="679">
    <w:name w:val="Quote"/>
    <w:basedOn w:val="653"/>
    <w:next w:val="653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3"/>
    <w:next w:val="653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link w:val="683"/>
    <w:uiPriority w:val="99"/>
  </w:style>
  <w:style w:type="paragraph" w:styleId="685">
    <w:name w:val="Footer"/>
    <w:basedOn w:val="65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Footer Char"/>
    <w:uiPriority w:val="99"/>
  </w:style>
  <w:style w:type="paragraph" w:styleId="687">
    <w:name w:val="Caption"/>
    <w:basedOn w:val="653"/>
    <w:next w:val="65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8" w:customStyle="1">
    <w:name w:val="Нижний колонтитул Знак"/>
    <w:link w:val="685"/>
    <w:uiPriority w:val="99"/>
  </w:style>
  <w:style w:type="table" w:styleId="689">
    <w:name w:val="Table Grid"/>
    <w:basedOn w:val="66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0" w:customStyle="1">
    <w:name w:val="Table Grid Light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1">
    <w:name w:val="Plain Table 1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66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9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0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1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2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3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4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3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4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5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6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2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4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6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7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6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7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8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9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0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1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3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7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0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1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2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3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4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563c1" w:themeColor="hyperlink"/>
      <w:u w:val="single"/>
    </w:rPr>
  </w:style>
  <w:style w:type="paragraph" w:styleId="816">
    <w:name w:val="footnote text"/>
    <w:basedOn w:val="65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3"/>
    <w:next w:val="653"/>
    <w:uiPriority w:val="39"/>
    <w:unhideWhenUsed/>
    <w:pPr>
      <w:spacing w:after="57"/>
    </w:pPr>
  </w:style>
  <w:style w:type="paragraph" w:styleId="823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4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5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6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7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8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9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0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3"/>
    <w:next w:val="653"/>
    <w:uiPriority w:val="99"/>
    <w:unhideWhenUsed/>
    <w:pPr>
      <w:spacing w:after="0"/>
    </w:pPr>
  </w:style>
  <w:style w:type="paragraph" w:styleId="833">
    <w:name w:val="No Spacing"/>
    <w:basedOn w:val="653"/>
    <w:uiPriority w:val="1"/>
    <w:qFormat/>
    <w:pPr>
      <w:spacing w:after="0" w:line="240" w:lineRule="auto"/>
    </w:pPr>
  </w:style>
  <w:style w:type="paragraph" w:styleId="834">
    <w:name w:val="List Paragraph"/>
    <w:basedOn w:val="65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created xsi:type="dcterms:W3CDTF">2026-01-19T12:46:00Z</dcterms:created>
  <dcterms:modified xsi:type="dcterms:W3CDTF">2026-01-19T13:32:26Z</dcterms:modified>
</cp:coreProperties>
</file>