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13.wmf" ContentType="image/x-wmf"/>
  <Override PartName="/word/media/image11.jpeg" ContentType="image/jpeg"/>
  <Override PartName="/word/media/image4.jpeg" ContentType="image/jpeg"/>
  <Override PartName="/word/media/image10.jpeg" ContentType="image/jpeg"/>
  <Override PartName="/word/media/image3.jpeg" ContentType="image/jpeg"/>
  <Override PartName="/word/media/image2.jpeg" ContentType="image/jpeg"/>
  <Override PartName="/word/media/image1.png" ContentType="image/png"/>
  <Override PartName="/word/media/image8.jpeg" ContentType="image/jpeg"/>
  <Override PartName="/word/media/image5.jpeg" ContentType="image/jpeg"/>
  <Override PartName="/word/media/image12.wmf" ContentType="image/x-wmf"/>
  <Override PartName="/word/media/image6.jpeg" ContentType="image/jpeg"/>
  <Override PartName="/word/media/image7.jpeg" ContentType="image/jpeg"/>
  <Override PartName="/word/media/image9.png" ContentType="image/png"/>
  <Override PartName="/word/header4.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173" w:type="dxa"/>
        <w:jc w:val="left"/>
        <w:tblInd w:w="-108" w:type="dxa"/>
        <w:tblCellMar>
          <w:top w:w="0" w:type="dxa"/>
          <w:left w:w="108" w:type="dxa"/>
          <w:bottom w:w="0" w:type="dxa"/>
          <w:right w:w="108" w:type="dxa"/>
        </w:tblCellMar>
      </w:tblPr>
      <w:tblGrid>
        <w:gridCol w:w="1101"/>
        <w:gridCol w:w="8647"/>
        <w:gridCol w:w="425"/>
      </w:tblGrid>
      <w:tr>
        <w:trPr/>
        <w:tc>
          <w:tcPr>
            <w:tcW w:w="1101" w:type="dxa"/>
            <w:vMerge w:val="restart"/>
            <w:tcBorders/>
            <w:shd w:fill="auto" w:val="clear"/>
          </w:tcPr>
          <w:p>
            <w:pPr>
              <w:pStyle w:val="Normal"/>
              <w:snapToGrid w:val="false"/>
              <w:spacing w:lineRule="auto" w:line="240" w:before="0" w:after="0"/>
              <w:jc w:val="center"/>
              <w:rPr>
                <w:rFonts w:ascii="Times New Roman" w:hAnsi="Times New Roman" w:cs="Times New Roman"/>
                <w:b/>
                <w:b/>
                <w:sz w:val="28"/>
                <w:szCs w:val="28"/>
                <w:lang w:val="ru-RU" w:eastAsia="ru-RU"/>
              </w:rPr>
            </w:pPr>
            <w:r>
              <w:rPr>
                <w:rFonts w:cs="Times New Roman" w:ascii="Times New Roman" w:hAnsi="Times New Roman"/>
                <w:b/>
                <w:sz w:val="28"/>
                <w:szCs w:val="28"/>
                <w:lang w:val="ru-RU" w:eastAsia="ru-RU"/>
              </w:rPr>
              <w:drawing>
                <wp:anchor behindDoc="1" distT="0" distB="0" distL="114935" distR="114935" simplePos="0" locked="0" layoutInCell="1" allowOverlap="1" relativeHeight="14">
                  <wp:simplePos x="0" y="0"/>
                  <wp:positionH relativeFrom="margin">
                    <wp:posOffset>-819785</wp:posOffset>
                  </wp:positionH>
                  <wp:positionV relativeFrom="paragraph">
                    <wp:posOffset>-6456045</wp:posOffset>
                  </wp:positionV>
                  <wp:extent cx="7560310" cy="10692130"/>
                  <wp:effectExtent l="0" t="0" r="0" b="0"/>
                  <wp:wrapNone/>
                  <wp:docPr id="1"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
                          <pic:cNvPicPr>
                            <a:picLocks noChangeAspect="1" noChangeArrowheads="1"/>
                          </pic:cNvPicPr>
                        </pic:nvPicPr>
                        <pic:blipFill>
                          <a:blip r:embed="rId2"/>
                          <a:srcRect l="-4" t="-1" r="-4" b="-1"/>
                          <a:stretch>
                            <a:fillRect/>
                          </a:stretch>
                        </pic:blipFill>
                        <pic:spPr bwMode="auto">
                          <a:xfrm>
                            <a:off x="0" y="0"/>
                            <a:ext cx="7560310" cy="10692130"/>
                          </a:xfrm>
                          <a:prstGeom prst="rect">
                            <a:avLst/>
                          </a:prstGeom>
                        </pic:spPr>
                      </pic:pic>
                    </a:graphicData>
                  </a:graphic>
                </wp:anchor>
              </w:drawing>
            </w:r>
          </w:p>
        </w:tc>
        <w:tc>
          <w:tcPr>
            <w:tcW w:w="8647" w:type="dxa"/>
            <w:tcBorders/>
            <w:shd w:fill="auto" w:val="clear"/>
          </w:tcPr>
          <w:p>
            <w:pPr>
              <w:pStyle w:val="Normal"/>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Министерство Российской Федерации</w:t>
            </w:r>
          </w:p>
          <w:p>
            <w:pPr>
              <w:pStyle w:val="Normal"/>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 xml:space="preserve">по делам гражданкой обороны, </w:t>
            </w:r>
          </w:p>
          <w:p>
            <w:pPr>
              <w:pStyle w:val="Normal"/>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 xml:space="preserve">чрезвычайным ситуациям и ликвидации последствий </w:t>
            </w:r>
          </w:p>
          <w:p>
            <w:pPr>
              <w:pStyle w:val="Normal"/>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стихийных бедствий</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c>
          <w:tcPr>
            <w:tcW w:w="425" w:type="dxa"/>
            <w:vMerge w:val="restart"/>
            <w:tcBorders/>
            <w:shd w:fill="auto" w:val="clear"/>
          </w:tcPr>
          <w:p>
            <w:pPr>
              <w:pStyle w:val="Normal"/>
              <w:snapToGrid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r>
        <w:trPr/>
        <w:tc>
          <w:tcPr>
            <w:tcW w:w="1101" w:type="dxa"/>
            <w:vMerge w:val="continue"/>
            <w:tcBorders/>
            <w:shd w:fill="auto" w:val="clear"/>
          </w:tcPr>
          <w:p>
            <w:pPr>
              <w:pStyle w:val="Normal"/>
              <w:snapToGrid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c>
          <w:tcPr>
            <w:tcW w:w="8647" w:type="dxa"/>
            <w:tcBorders/>
            <w:shd w:fill="auto" w:val="clear"/>
          </w:tcPr>
          <w:p>
            <w:pPr>
              <w:pStyle w:val="Normal"/>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Федеральное государственное бюджетное учреждение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425" w:type="dxa"/>
            <w:vMerge w:val="continue"/>
            <w:tcBorders/>
            <w:shd w:fill="auto" w:val="clear"/>
          </w:tcPr>
          <w:p>
            <w:pPr>
              <w:pStyle w:val="Normal"/>
              <w:snapToGrid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c>
      </w:tr>
    </w:tbl>
    <w:p>
      <w:pPr>
        <w:pStyle w:val="Normal"/>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b/>
          <w:sz w:val="32"/>
          <w:szCs w:val="32"/>
        </w:rPr>
      </w:pPr>
      <w:r>
        <w:rPr>
          <w:rFonts w:cs="Times New Roman" w:ascii="Times New Roman" w:hAnsi="Times New Roman"/>
          <w:b/>
          <w:sz w:val="32"/>
          <w:szCs w:val="32"/>
        </w:rPr>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left="851" w:hanging="0"/>
        <w:jc w:val="center"/>
        <w:rPr>
          <w:rFonts w:ascii="Times New Roman" w:hAnsi="Times New Roman" w:eastAsia="Arial Unicode MS" w:cs="Times New Roman"/>
          <w:b/>
          <w:b/>
          <w:sz w:val="32"/>
          <w:szCs w:val="32"/>
        </w:rPr>
      </w:pPr>
      <w:r>
        <w:rPr>
          <w:rFonts w:eastAsia="Arial Unicode MS" w:cs="Times New Roman" w:ascii="Times New Roman" w:hAnsi="Times New Roman"/>
          <w:b/>
          <w:sz w:val="32"/>
          <w:szCs w:val="32"/>
        </w:rPr>
        <w:t>МЕТОДИКА ОЦЕНКИ ПОЖАРНОЙ БЕЗОПАСНОСТИ</w:t>
      </w:r>
    </w:p>
    <w:p>
      <w:pPr>
        <w:pStyle w:val="Normal"/>
        <w:spacing w:lineRule="auto" w:line="240" w:before="0" w:after="0"/>
        <w:ind w:left="851" w:hanging="0"/>
        <w:jc w:val="center"/>
        <w:rPr>
          <w:rFonts w:ascii="Times New Roman" w:hAnsi="Times New Roman" w:eastAsia="Arial Unicode MS" w:cs="Times New Roman"/>
          <w:b/>
          <w:b/>
          <w:sz w:val="32"/>
          <w:szCs w:val="32"/>
        </w:rPr>
      </w:pPr>
      <w:r>
        <w:rPr>
          <w:rFonts w:eastAsia="Arial Unicode MS" w:cs="Times New Roman" w:ascii="Times New Roman" w:hAnsi="Times New Roman"/>
          <w:b/>
          <w:sz w:val="32"/>
          <w:szCs w:val="32"/>
        </w:rPr>
        <w:t>ЖИЛОГО ДОМА (КВАРТИРЫ)</w:t>
      </w:r>
    </w:p>
    <w:p>
      <w:pPr>
        <w:pStyle w:val="Normal"/>
        <w:spacing w:lineRule="auto" w:line="240" w:before="0" w:after="0"/>
        <w:jc w:val="center"/>
        <w:rPr>
          <w:rFonts w:ascii="Times New Roman" w:hAnsi="Times New Roman" w:eastAsia="Arial Unicode MS" w:cs="Times New Roman"/>
          <w:b/>
          <w:b/>
          <w:sz w:val="32"/>
          <w:szCs w:val="32"/>
        </w:rPr>
      </w:pPr>
      <w:r>
        <w:rPr>
          <w:rFonts w:eastAsia="Arial Unicode MS" w:cs="Times New Roman" w:ascii="Times New Roman" w:hAnsi="Times New Roman"/>
          <w:b/>
          <w:sz w:val="32"/>
          <w:szCs w:val="32"/>
        </w:rPr>
      </w:r>
    </w:p>
    <w:p>
      <w:pPr>
        <w:pStyle w:val="Normal"/>
        <w:spacing w:lineRule="auto" w:line="240" w:before="0" w:after="0"/>
        <w:jc w:val="center"/>
        <w:rPr>
          <w:rFonts w:ascii="Times New Roman" w:hAnsi="Times New Roman" w:eastAsia="Arial Unicode MS" w:cs="Times New Roman"/>
          <w:b/>
          <w:b/>
          <w:sz w:val="32"/>
          <w:szCs w:val="32"/>
        </w:rPr>
      </w:pPr>
      <w:r>
        <w:rPr>
          <w:rFonts w:eastAsia="Arial Unicode MS" w:cs="Times New Roman" w:ascii="Times New Roman" w:hAnsi="Times New Roman"/>
          <w:b/>
          <w:sz w:val="32"/>
          <w:szCs w:val="32"/>
        </w:rPr>
      </w:r>
    </w:p>
    <w:p>
      <w:pPr>
        <w:pStyle w:val="Normal"/>
        <w:spacing w:lineRule="auto" w:line="240" w:before="0" w:after="0"/>
        <w:jc w:val="both"/>
        <w:rPr>
          <w:rFonts w:ascii="Times New Roman" w:hAnsi="Times New Roman" w:eastAsia="Arial Unicode MS" w:cs="Times New Roman"/>
          <w:b/>
          <w:b/>
          <w:sz w:val="28"/>
          <w:szCs w:val="28"/>
        </w:rPr>
      </w:pPr>
      <w:r>
        <w:rPr>
          <w:rFonts w:eastAsia="Arial Unicode MS" w:cs="Times New Roman" w:ascii="Times New Roman" w:hAnsi="Times New Roman"/>
          <w:b/>
          <w:sz w:val="28"/>
          <w:szCs w:val="28"/>
        </w:rPr>
      </w:r>
    </w:p>
    <w:p>
      <w:pPr>
        <w:pStyle w:val="Normal"/>
        <w:spacing w:lineRule="auto" w:line="240" w:before="0" w:after="0"/>
        <w:jc w:val="both"/>
        <w:rPr>
          <w:rFonts w:ascii="Times New Roman" w:hAnsi="Times New Roman" w:eastAsia="Arial Unicode MS" w:cs="Times New Roman"/>
          <w:b/>
          <w:b/>
          <w:sz w:val="28"/>
          <w:szCs w:val="28"/>
        </w:rPr>
      </w:pPr>
      <w:r>
        <w:rPr>
          <w:rFonts w:eastAsia="Arial Unicode MS" w:cs="Times New Roman" w:ascii="Times New Roman" w:hAnsi="Times New Roman"/>
          <w:b/>
          <w:sz w:val="28"/>
          <w:szCs w:val="28"/>
        </w:rPr>
      </w:r>
    </w:p>
    <w:p>
      <w:pPr>
        <w:pStyle w:val="Normal"/>
        <w:spacing w:lineRule="auto" w:line="240" w:before="0" w:after="0"/>
        <w:jc w:val="both"/>
        <w:rPr>
          <w:rFonts w:ascii="Times New Roman" w:hAnsi="Times New Roman" w:eastAsia="Arial Unicode MS" w:cs="Times New Roman"/>
          <w:sz w:val="28"/>
          <w:szCs w:val="28"/>
        </w:rPr>
      </w:pPr>
      <w:r>
        <w:rPr>
          <w:rFonts w:eastAsia="Arial Unicode MS" w:cs="Times New Roman" w:ascii="Times New Roman" w:hAnsi="Times New Roman"/>
          <w:sz w:val="28"/>
          <w:szCs w:val="28"/>
        </w:rPr>
      </w:r>
    </w:p>
    <w:p>
      <w:pPr>
        <w:pStyle w:val="Normal"/>
        <w:spacing w:lineRule="auto" w:line="240" w:before="0" w:after="0"/>
        <w:jc w:val="both"/>
        <w:rPr>
          <w:rFonts w:ascii="Times New Roman" w:hAnsi="Times New Roman" w:eastAsia="Arial Unicode MS" w:cs="Times New Roman"/>
          <w:sz w:val="28"/>
          <w:szCs w:val="28"/>
        </w:rPr>
      </w:pPr>
      <w:r>
        <w:rPr>
          <w:rFonts w:eastAsia="Arial Unicode MS" w:cs="Times New Roman" w:ascii="Times New Roman" w:hAnsi="Times New Roman"/>
          <w:sz w:val="28"/>
          <w:szCs w:val="28"/>
        </w:rPr>
      </w:r>
    </w:p>
    <w:p>
      <w:pPr>
        <w:pStyle w:val="Normal"/>
        <w:spacing w:lineRule="auto" w:line="240" w:before="0" w:after="0"/>
        <w:rPr>
          <w:rFonts w:ascii="Times New Roman" w:hAnsi="Times New Roman" w:eastAsia="Arial Unicode MS" w:cs="Times New Roman"/>
          <w:sz w:val="28"/>
          <w:szCs w:val="28"/>
        </w:rPr>
      </w:pPr>
      <w:r>
        <w:rPr>
          <w:rFonts w:eastAsia="Arial Unicode MS" w:cs="Times New Roman" w:ascii="Times New Roman" w:hAnsi="Times New Roman"/>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r>
    </w:p>
    <w:p>
      <w:pPr>
        <w:sectPr>
          <w:type w:val="nextPage"/>
          <w:pgSz w:w="11906" w:h="16838"/>
          <w:pgMar w:left="1276" w:right="850" w:header="0" w:top="568" w:footer="0" w:bottom="1134" w:gutter="0"/>
          <w:pgNumType w:fmt="decimal"/>
          <w:formProt w:val="false"/>
          <w:textDirection w:val="lrTb"/>
          <w:docGrid w:type="default" w:linePitch="360" w:charSpace="0"/>
        </w:sectPr>
        <w:pStyle w:val="Normal"/>
        <w:jc w:val="center"/>
        <w:rPr>
          <w:rFonts w:ascii="Times New Roman" w:hAnsi="Times New Roman" w:cs="Times New Roman"/>
          <w:sz w:val="28"/>
          <w:szCs w:val="28"/>
        </w:rPr>
      </w:pPr>
      <w:r>
        <w:rPr>
          <w:rFonts w:cs="Times New Roman" w:ascii="Times New Roman" w:hAnsi="Times New Roman"/>
          <w:sz w:val="28"/>
          <w:szCs w:val="28"/>
        </w:rPr>
        <w:t>Москва 2023</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УДК 614.841.315</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ББК  38.96</w:t>
      </w:r>
    </w:p>
    <w:p>
      <w:pPr>
        <w:pStyle w:val="Normal"/>
        <w:spacing w:lineRule="auto" w:line="240" w:before="0" w:after="0"/>
        <w:ind w:firstLine="624"/>
        <w:rPr>
          <w:rFonts w:ascii="Times New Roman" w:hAnsi="Times New Roman" w:cs="Times New Roman"/>
          <w:sz w:val="28"/>
          <w:szCs w:val="28"/>
        </w:rPr>
      </w:pPr>
      <w:r>
        <w:rPr>
          <w:rFonts w:cs="Times New Roman" w:ascii="Times New Roman" w:hAnsi="Times New Roman"/>
          <w:sz w:val="28"/>
          <w:szCs w:val="28"/>
        </w:rPr>
        <w:t>М 54</w:t>
      </w:r>
    </w:p>
    <w:p>
      <w:pPr>
        <w:pStyle w:val="Normal"/>
        <w:spacing w:lineRule="auto" w:line="240" w:before="0" w:after="0"/>
        <w:ind w:firstLine="624"/>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center"/>
        <w:rPr>
          <w:rFonts w:ascii="Times New Roman" w:hAnsi="Times New Roman" w:cs="Times New Roman"/>
          <w:b/>
          <w:b/>
          <w:sz w:val="28"/>
          <w:szCs w:val="28"/>
        </w:rPr>
      </w:pPr>
      <w:r>
        <w:rPr>
          <w:rFonts w:cs="Times New Roman" w:ascii="Times New Roman" w:hAnsi="Times New Roman"/>
          <w:b/>
          <w:sz w:val="28"/>
          <w:szCs w:val="28"/>
        </w:rPr>
        <w:t>Авторский коллектив:</w:t>
      </w:r>
    </w:p>
    <w:p>
      <w:pPr>
        <w:pStyle w:val="Normal"/>
        <w:spacing w:lineRule="auto" w:line="240" w:before="0" w:after="0"/>
        <w:jc w:val="center"/>
        <w:rPr>
          <w:rFonts w:ascii="Times New Roman" w:hAnsi="Times New Roman" w:cs="Times New Roman"/>
          <w:i/>
          <w:i/>
          <w:sz w:val="28"/>
          <w:szCs w:val="28"/>
        </w:rPr>
      </w:pPr>
      <w:r>
        <w:rPr>
          <w:rFonts w:cs="Times New Roman" w:ascii="Times New Roman" w:hAnsi="Times New Roman"/>
          <w:i/>
          <w:sz w:val="28"/>
          <w:szCs w:val="28"/>
        </w:rPr>
        <w:t xml:space="preserve">Н.В. Перегудова – нач. отдела; П.П. Кононко – нач. сектора; </w:t>
      </w:r>
    </w:p>
    <w:p>
      <w:pPr>
        <w:pStyle w:val="Normal"/>
        <w:spacing w:lineRule="auto" w:line="240" w:before="0" w:after="0"/>
        <w:jc w:val="center"/>
        <w:rPr>
          <w:rFonts w:ascii="Times New Roman" w:hAnsi="Times New Roman" w:cs="Times New Roman"/>
          <w:i/>
          <w:i/>
          <w:sz w:val="28"/>
          <w:szCs w:val="28"/>
        </w:rPr>
      </w:pPr>
      <w:r>
        <w:rPr>
          <w:rFonts w:cs="Times New Roman" w:ascii="Times New Roman" w:hAnsi="Times New Roman"/>
          <w:i/>
          <w:sz w:val="28"/>
          <w:szCs w:val="28"/>
        </w:rPr>
        <w:t>В.И. Сибирко – нач. сектора; О.Д. Ратникова – ст. науч. сотр.;</w:t>
      </w:r>
    </w:p>
    <w:p>
      <w:pPr>
        <w:pStyle w:val="Normal"/>
        <w:spacing w:lineRule="auto" w:line="240" w:before="0" w:after="0"/>
        <w:jc w:val="center"/>
        <w:rPr>
          <w:rFonts w:ascii="Times New Roman" w:hAnsi="Times New Roman" w:cs="Times New Roman"/>
          <w:i/>
          <w:i/>
          <w:sz w:val="28"/>
          <w:szCs w:val="28"/>
        </w:rPr>
      </w:pPr>
      <w:r>
        <w:rPr>
          <w:rFonts w:cs="Times New Roman" w:ascii="Times New Roman" w:hAnsi="Times New Roman"/>
          <w:i/>
          <w:sz w:val="28"/>
          <w:szCs w:val="28"/>
        </w:rPr>
        <w:t>Д.А. Черныш – науч. сотр; Е.А. Филатова – мл. науч. сотр.</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(ФГБУ ВНИИПО МЧС России)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tbl>
      <w:tblPr>
        <w:tblW w:w="9571" w:type="dxa"/>
        <w:jc w:val="left"/>
        <w:tblInd w:w="-108" w:type="dxa"/>
        <w:tblCellMar>
          <w:top w:w="0" w:type="dxa"/>
          <w:left w:w="108" w:type="dxa"/>
          <w:bottom w:w="0" w:type="dxa"/>
          <w:right w:w="108" w:type="dxa"/>
        </w:tblCellMar>
      </w:tblPr>
      <w:tblGrid>
        <w:gridCol w:w="817"/>
        <w:gridCol w:w="8754"/>
      </w:tblGrid>
      <w:tr>
        <w:trPr/>
        <w:tc>
          <w:tcPr>
            <w:tcW w:w="817" w:type="dxa"/>
            <w:tcBorders/>
            <w:shd w:fill="auto" w:val="clear"/>
          </w:tcPr>
          <w:p>
            <w:pPr>
              <w:pStyle w:val="Normal"/>
              <w:snapToGrid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 54</w:t>
            </w:r>
          </w:p>
        </w:tc>
        <w:tc>
          <w:tcPr>
            <w:tcW w:w="8754" w:type="dxa"/>
            <w:tcBorders/>
            <w:shd w:fill="auto" w:val="clear"/>
          </w:tcPr>
          <w:p>
            <w:pPr>
              <w:pStyle w:val="Normal"/>
              <w:spacing w:lineRule="auto" w:line="240" w:before="0" w:after="0"/>
              <w:jc w:val="both"/>
              <w:rPr/>
            </w:pPr>
            <w:r>
              <w:rPr>
                <w:rFonts w:cs="Times New Roman" w:ascii="Times New Roman" w:hAnsi="Times New Roman"/>
                <w:b/>
                <w:sz w:val="28"/>
                <w:szCs w:val="28"/>
              </w:rPr>
              <w:t>Методика оценки пожарной безопасности жилого дома (квартиры)</w:t>
            </w:r>
            <w:r>
              <w:rPr>
                <w:rFonts w:cs="Times New Roman" w:ascii="Times New Roman" w:hAnsi="Times New Roman"/>
                <w:sz w:val="28"/>
                <w:szCs w:val="28"/>
              </w:rPr>
              <w:t>. – 2-е изд. – М.: ФГБУ ВНИИПО МЧС России, 2022. 77 с.</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методике рассмотрены вопросы профилактики пожаров</w:t>
        <w:br/>
        <w:t>в жилых помещениях.</w:t>
      </w:r>
    </w:p>
    <w:p>
      <w:pPr>
        <w:pStyle w:val="Normal"/>
        <w:spacing w:lineRule="auto" w:line="240" w:before="0" w:after="0"/>
        <w:ind w:firstLine="709"/>
        <w:jc w:val="both"/>
        <w:rPr/>
      </w:pPr>
      <w:r>
        <w:rPr>
          <w:rFonts w:cs="Times New Roman" w:ascii="Times New Roman" w:hAnsi="Times New Roman"/>
          <w:sz w:val="28"/>
          <w:szCs w:val="28"/>
        </w:rPr>
        <w:t>Методика содержит памятку по профилактике пожаров, лист самообследования жилых помещений на выявление факторов, способствующих возможности возникновения и распространения пожара, порядок действий граждан в случае возникновения пожара, а также правила применения первичных средств пожаротушения и средств самоспасения.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Методика предназначена для исполнительных органов субъектов Российской Федерации, органов местного самоуправления, организаций</w:t>
        <w:br/>
        <w:t>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w:t>
        <w:br/>
        <w:t>и правового информирования граждан и организаций.</w:t>
      </w:r>
    </w:p>
    <w:p>
      <w:pPr>
        <w:pStyle w:val="Normal"/>
        <w:spacing w:lineRule="auto" w:line="240" w:before="0" w:after="0"/>
        <w:ind w:firstLine="567"/>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Настоящие методические рекомендации не являются руководством</w:t>
        <w:br/>
        <w:t>по проектированию электроустановок зданий и монтажу аппаратов электрической защиты и других технических средств.</w:t>
      </w:r>
    </w:p>
    <w:p>
      <w:pPr>
        <w:pStyle w:val="Normal"/>
        <w:spacing w:lineRule="auto" w:line="240" w:before="0" w:after="0"/>
        <w:ind w:firstLine="567"/>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Настоящие методические рекомендации не являются нормативным документом.</w:t>
      </w:r>
    </w:p>
    <w:p>
      <w:pPr>
        <w:pStyle w:val="Normal"/>
        <w:spacing w:lineRule="auto" w:line="240" w:before="0" w:after="0"/>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УДК 614.841.315</w:t>
      </w:r>
    </w:p>
    <w:p>
      <w:pPr>
        <w:pStyle w:val="Normal"/>
        <w:spacing w:lineRule="auto" w:line="240" w:before="0" w:after="0"/>
        <w:jc w:val="right"/>
        <w:rPr/>
      </w:pPr>
      <w:r>
        <w:rPr>
          <w:rFonts w:cs="Times New Roman" w:ascii="Times New Roman" w:hAnsi="Times New Roman"/>
          <w:sz w:val="28"/>
          <w:szCs w:val="28"/>
        </w:rPr>
        <w:t>ББК  38.96</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left="5245" w:hanging="0"/>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caps/>
          <w:sz w:val="28"/>
          <w:szCs w:val="28"/>
        </w:rPr>
        <w:t xml:space="preserve"> мчс р</w:t>
      </w:r>
      <w:r>
        <w:rPr>
          <w:rFonts w:cs="Times New Roman" w:ascii="Times New Roman" w:hAnsi="Times New Roman"/>
          <w:sz w:val="28"/>
          <w:szCs w:val="28"/>
        </w:rPr>
        <w:t>оссии, 2023</w:t>
      </w:r>
    </w:p>
    <w:p>
      <w:pPr>
        <w:pStyle w:val="Normal"/>
        <w:spacing w:lineRule="auto" w:line="240" w:before="0" w:after="0"/>
        <w:ind w:left="5245" w:hanging="0"/>
        <w:rPr>
          <w:rFonts w:ascii="Times New Roman" w:hAnsi="Times New Roman" w:cs="Times New Roman"/>
          <w:caps/>
          <w:sz w:val="28"/>
          <w:szCs w:val="28"/>
        </w:rPr>
      </w:pPr>
      <w:r>
        <w:rPr>
          <w:rFonts w:cs="Times New Roman" w:ascii="Times New Roman" w:hAnsi="Times New Roman"/>
          <w:caps/>
          <w:sz w:val="28"/>
          <w:szCs w:val="28"/>
        </w:rPr>
        <w:t>© ДНПР МЧС Р</w:t>
      </w:r>
      <w:r>
        <w:rPr>
          <w:rFonts w:cs="Times New Roman" w:ascii="Times New Roman" w:hAnsi="Times New Roman"/>
          <w:sz w:val="28"/>
          <w:szCs w:val="28"/>
        </w:rPr>
        <w:t>оссии</w:t>
      </w:r>
      <w:r>
        <w:rPr>
          <w:rFonts w:cs="Times New Roman" w:ascii="Times New Roman" w:hAnsi="Times New Roman"/>
          <w:caps/>
          <w:sz w:val="28"/>
          <w:szCs w:val="28"/>
        </w:rPr>
        <w:t>, 2023</w:t>
      </w:r>
    </w:p>
    <w:p>
      <w:pPr>
        <w:pStyle w:val="Normal"/>
        <w:autoSpaceDE w:val="false"/>
        <w:spacing w:lineRule="auto" w:line="240" w:before="0" w:after="0"/>
        <w:ind w:left="5245" w:hanging="0"/>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caps/>
          <w:sz w:val="28"/>
          <w:szCs w:val="28"/>
        </w:rPr>
        <w:t>фгБу вниипо мчс р</w:t>
      </w:r>
      <w:r>
        <w:rPr>
          <w:rFonts w:cs="Times New Roman" w:ascii="Times New Roman" w:hAnsi="Times New Roman"/>
          <w:sz w:val="28"/>
          <w:szCs w:val="28"/>
        </w:rPr>
        <w:t>оссии, 2023</w:t>
      </w:r>
      <w:r>
        <w:br w:type="page"/>
      </w:r>
    </w:p>
    <w:p>
      <w:pPr>
        <w:pStyle w:val="Normal"/>
        <w:autoSpaceDE w:val="false"/>
        <w:spacing w:lineRule="auto" w:line="240" w:before="0" w:after="0"/>
        <w:ind w:left="5245" w:hanging="0"/>
        <w:rPr>
          <w:rFonts w:ascii="Times New Roman" w:hAnsi="Times New Roman" w:cs="Times New Roman"/>
          <w:b/>
          <w:b/>
          <w:sz w:val="28"/>
          <w:szCs w:val="28"/>
        </w:rPr>
      </w:pPr>
      <w:r>
        <w:rPr>
          <w:rFonts w:cs="Times New Roman" w:ascii="Times New Roman" w:hAnsi="Times New Roman"/>
          <w:b/>
          <w:sz w:val="28"/>
          <w:szCs w:val="28"/>
        </w:rPr>
      </w:r>
    </w:p>
    <w:p>
      <w:pPr>
        <w:pStyle w:val="Normal"/>
        <w:autoSpaceDE w:val="false"/>
        <w:spacing w:lineRule="auto" w:line="240" w:before="0" w:after="0"/>
        <w:jc w:val="center"/>
        <w:rPr>
          <w:rFonts w:ascii="Times New Roman" w:hAnsi="Times New Roman" w:cs="Times New Roman"/>
          <w:b/>
          <w:b/>
          <w:sz w:val="28"/>
          <w:szCs w:val="28"/>
          <w:lang w:val="en-US"/>
        </w:rPr>
      </w:pPr>
      <w:r>
        <w:rPr>
          <w:rFonts w:cs="Times New Roman" w:ascii="Times New Roman" w:hAnsi="Times New Roman"/>
          <w:b/>
          <w:sz w:val="28"/>
          <w:szCs w:val="28"/>
        </w:rPr>
        <w:t>Содержание</w:t>
      </w:r>
    </w:p>
    <w:p>
      <w:pPr>
        <w:pStyle w:val="Normal"/>
        <w:autoSpaceDE w:val="false"/>
        <w:spacing w:lineRule="auto" w:line="240" w:before="0" w:after="0"/>
        <w:rPr>
          <w:rFonts w:ascii="Times New Roman" w:hAnsi="Times New Roman" w:cs="Times New Roman"/>
          <w:b/>
          <w:b/>
          <w:sz w:val="28"/>
          <w:szCs w:val="28"/>
          <w:lang w:val="en-US"/>
        </w:rPr>
      </w:pPr>
      <w:r>
        <w:rPr>
          <w:rFonts w:cs="Times New Roman" w:ascii="Times New Roman" w:hAnsi="Times New Roman"/>
          <w:b/>
          <w:sz w:val="28"/>
          <w:szCs w:val="28"/>
          <w:lang w:val="en-US"/>
        </w:rPr>
      </w:r>
    </w:p>
    <w:tbl>
      <w:tblPr>
        <w:tblW w:w="10054" w:type="dxa"/>
        <w:jc w:val="left"/>
        <w:tblInd w:w="-108" w:type="dxa"/>
        <w:tblCellMar>
          <w:top w:w="0" w:type="dxa"/>
          <w:left w:w="108" w:type="dxa"/>
          <w:bottom w:w="0" w:type="dxa"/>
          <w:right w:w="108" w:type="dxa"/>
        </w:tblCellMar>
      </w:tblPr>
      <w:tblGrid>
        <w:gridCol w:w="9380"/>
        <w:gridCol w:w="674"/>
      </w:tblGrid>
      <w:tr>
        <w:trPr/>
        <w:tc>
          <w:tcPr>
            <w:tcW w:w="9380" w:type="dxa"/>
            <w:tcBorders/>
            <w:shd w:fill="auto" w:val="clear"/>
          </w:tcPr>
          <w:p>
            <w:pPr>
              <w:pStyle w:val="Normal"/>
              <w:autoSpaceDE w:val="false"/>
              <w:spacing w:lineRule="auto" w:line="360" w:before="0" w:after="0"/>
              <w:ind w:left="-108" w:hanging="0"/>
              <w:jc w:val="both"/>
              <w:rPr>
                <w:rFonts w:ascii="Times New Roman" w:hAnsi="Times New Roman" w:cs="Times New Roman"/>
                <w:sz w:val="28"/>
                <w:szCs w:val="28"/>
              </w:rPr>
            </w:pPr>
            <w:r>
              <w:rPr>
                <w:rFonts w:cs="Times New Roman" w:ascii="Times New Roman" w:hAnsi="Times New Roman"/>
                <w:sz w:val="28"/>
                <w:szCs w:val="28"/>
              </w:rPr>
              <w:t>Используемые сокращения………………………………………………………..</w:t>
            </w:r>
          </w:p>
        </w:tc>
        <w:tc>
          <w:tcPr>
            <w:tcW w:w="674" w:type="dxa"/>
            <w:tcBorders/>
            <w:shd w:fill="auto" w:val="clear"/>
          </w:tcPr>
          <w:p>
            <w:pPr>
              <w:pStyle w:val="Normal"/>
              <w:tabs>
                <w:tab w:val="clear" w:pos="708"/>
                <w:tab w:val="left" w:pos="0" w:leader="none"/>
              </w:tabs>
              <w:autoSpaceDE w:val="false"/>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w:t>
            </w:r>
          </w:p>
        </w:tc>
      </w:tr>
      <w:tr>
        <w:trPr/>
        <w:tc>
          <w:tcPr>
            <w:tcW w:w="9380" w:type="dxa"/>
            <w:tcBorders/>
            <w:shd w:fill="auto" w:val="clear"/>
          </w:tcPr>
          <w:p>
            <w:pPr>
              <w:pStyle w:val="Normal"/>
              <w:autoSpaceDE w:val="false"/>
              <w:spacing w:lineRule="auto" w:line="360" w:before="0" w:after="0"/>
              <w:ind w:left="-108" w:hanging="0"/>
              <w:rPr>
                <w:rFonts w:ascii="Times New Roman" w:hAnsi="Times New Roman" w:cs="Times New Roman"/>
                <w:sz w:val="28"/>
                <w:szCs w:val="28"/>
                <w:lang w:val="en-US"/>
              </w:rPr>
            </w:pPr>
            <w:r>
              <w:rPr>
                <w:rFonts w:cs="Times New Roman" w:ascii="Times New Roman" w:hAnsi="Times New Roman"/>
                <w:sz w:val="28"/>
                <w:szCs w:val="28"/>
              </w:rPr>
              <w:t>Введение……………………………………………………………………………</w:t>
            </w:r>
          </w:p>
        </w:tc>
        <w:tc>
          <w:tcPr>
            <w:tcW w:w="674" w:type="dxa"/>
            <w:tcBorders/>
            <w:shd w:fill="auto" w:val="clear"/>
          </w:tcPr>
          <w:p>
            <w:pPr>
              <w:pStyle w:val="Normal"/>
              <w:tabs>
                <w:tab w:val="clear" w:pos="708"/>
                <w:tab w:val="left" w:pos="0" w:leader="none"/>
              </w:tabs>
              <w:autoSpaceDE w:val="false"/>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5</w:t>
            </w:r>
          </w:p>
        </w:tc>
      </w:tr>
      <w:tr>
        <w:trPr/>
        <w:tc>
          <w:tcPr>
            <w:tcW w:w="9380" w:type="dxa"/>
            <w:tcBorders/>
            <w:shd w:fill="auto" w:val="clear"/>
          </w:tcPr>
          <w:p>
            <w:pPr>
              <w:pStyle w:val="Normal"/>
              <w:autoSpaceDE w:val="false"/>
              <w:spacing w:lineRule="auto" w:line="360" w:before="0" w:after="0"/>
              <w:ind w:left="-108" w:hanging="0"/>
              <w:rPr>
                <w:rFonts w:ascii="Times New Roman" w:hAnsi="Times New Roman" w:cs="Times New Roman"/>
                <w:sz w:val="28"/>
                <w:szCs w:val="28"/>
              </w:rPr>
            </w:pPr>
            <w:r>
              <w:rPr>
                <w:rFonts w:cs="Times New Roman" w:ascii="Times New Roman" w:hAnsi="Times New Roman"/>
                <w:bCs/>
                <w:sz w:val="28"/>
                <w:szCs w:val="28"/>
                <w:lang w:val="en-US"/>
              </w:rPr>
              <w:t>I</w:t>
            </w:r>
            <w:r>
              <w:rPr>
                <w:rFonts w:cs="Times New Roman" w:ascii="Times New Roman" w:hAnsi="Times New Roman"/>
                <w:bCs/>
                <w:sz w:val="28"/>
                <w:szCs w:val="28"/>
              </w:rPr>
              <w:t>.</w:t>
            </w:r>
            <w:r>
              <w:rPr>
                <w:rFonts w:cs="Times New Roman" w:ascii="Times New Roman" w:hAnsi="Times New Roman"/>
                <w:bCs/>
                <w:sz w:val="28"/>
                <w:szCs w:val="28"/>
                <w:lang w:val="en-US"/>
              </w:rPr>
              <w:t> </w:t>
            </w:r>
            <w:r>
              <w:rPr>
                <w:rFonts w:cs="Times New Roman" w:ascii="Times New Roman" w:hAnsi="Times New Roman"/>
                <w:bCs/>
                <w:sz w:val="28"/>
                <w:szCs w:val="28"/>
              </w:rPr>
              <w:t>Памятка по профилактике пожаров для собственников и арендаторов жилых помещений……………………………………………………………...…</w:t>
            </w:r>
          </w:p>
        </w:tc>
        <w:tc>
          <w:tcPr>
            <w:tcW w:w="674" w:type="dxa"/>
            <w:tcBorders/>
            <w:shd w:fill="auto" w:val="clear"/>
          </w:tcPr>
          <w:p>
            <w:pPr>
              <w:pStyle w:val="Normal"/>
              <w:tabs>
                <w:tab w:val="clear" w:pos="708"/>
                <w:tab w:val="left" w:pos="0" w:leader="none"/>
              </w:tabs>
              <w:autoSpaceDE w:val="false"/>
              <w:snapToGrid w:val="false"/>
              <w:spacing w:lineRule="auto" w:line="360" w:before="0" w:after="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autoSpaceDE w:val="false"/>
              <w:spacing w:lineRule="auto" w:line="36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7</w:t>
            </w:r>
          </w:p>
        </w:tc>
      </w:tr>
      <w:tr>
        <w:trPr/>
        <w:tc>
          <w:tcPr>
            <w:tcW w:w="9380" w:type="dxa"/>
            <w:tcBorders/>
            <w:shd w:fill="auto" w:val="clear"/>
          </w:tcPr>
          <w:p>
            <w:pPr>
              <w:pStyle w:val="Normal"/>
              <w:tabs>
                <w:tab w:val="clear" w:pos="708"/>
                <w:tab w:val="left" w:pos="0" w:leader="none"/>
              </w:tabs>
              <w:autoSpaceDE w:val="false"/>
              <w:spacing w:lineRule="auto" w:line="360" w:before="0" w:after="0"/>
              <w:ind w:left="-108" w:hanging="0"/>
              <w:jc w:val="both"/>
              <w:rPr>
                <w:rFonts w:ascii="Times New Roman" w:hAnsi="Times New Roman" w:cs="Times New Roman"/>
                <w:sz w:val="28"/>
                <w:szCs w:val="28"/>
              </w:rPr>
            </w:pPr>
            <w:r>
              <w:rPr>
                <w:rFonts w:cs="Times New Roman" w:ascii="Times New Roman" w:hAnsi="Times New Roman"/>
                <w:sz w:val="28"/>
                <w:szCs w:val="28"/>
                <w:lang w:val="en-US"/>
              </w:rPr>
              <w:t>II</w:t>
            </w:r>
            <w:r>
              <w:rPr>
                <w:rFonts w:cs="Times New Roman" w:ascii="Times New Roman" w:hAnsi="Times New Roman"/>
                <w:sz w:val="28"/>
                <w:szCs w:val="28"/>
              </w:rPr>
              <w:t>.</w:t>
            </w:r>
            <w:r>
              <w:rPr>
                <w:rFonts w:cs="Times New Roman" w:ascii="Times New Roman" w:hAnsi="Times New Roman"/>
                <w:sz w:val="28"/>
                <w:szCs w:val="28"/>
                <w:lang w:val="en-US"/>
              </w:rPr>
              <w:t> </w:t>
            </w:r>
            <w:r>
              <w:rPr>
                <w:rFonts w:cs="Times New Roman" w:ascii="Times New Roman" w:hAnsi="Times New Roman"/>
                <w:sz w:val="28"/>
                <w:szCs w:val="28"/>
              </w:rPr>
              <w:t>Листы самообследования жилых помещений на выявление факторов,</w:t>
            </w:r>
          </w:p>
          <w:p>
            <w:pPr>
              <w:pStyle w:val="Normal"/>
              <w:tabs>
                <w:tab w:val="clear" w:pos="708"/>
                <w:tab w:val="left" w:pos="0" w:leader="none"/>
              </w:tabs>
              <w:autoSpaceDE w:val="false"/>
              <w:spacing w:lineRule="auto" w:line="360" w:before="0" w:after="0"/>
              <w:ind w:left="-108" w:hanging="0"/>
              <w:jc w:val="both"/>
              <w:rPr>
                <w:rFonts w:ascii="Times New Roman" w:hAnsi="Times New Roman" w:cs="Times New Roman"/>
                <w:sz w:val="28"/>
                <w:szCs w:val="28"/>
              </w:rPr>
            </w:pPr>
            <w:r>
              <w:rPr>
                <w:rFonts w:cs="Times New Roman" w:ascii="Times New Roman" w:hAnsi="Times New Roman"/>
                <w:sz w:val="28"/>
                <w:szCs w:val="28"/>
              </w:rPr>
              <w:t xml:space="preserve">способствующих возможности возникновения и распространения пожара.......   </w:t>
            </w:r>
          </w:p>
        </w:tc>
        <w:tc>
          <w:tcPr>
            <w:tcW w:w="674" w:type="dxa"/>
            <w:tcBorders/>
            <w:shd w:fill="auto" w:val="clear"/>
          </w:tcPr>
          <w:p>
            <w:pPr>
              <w:pStyle w:val="Normal"/>
              <w:tabs>
                <w:tab w:val="clear" w:pos="708"/>
                <w:tab w:val="left" w:pos="0" w:leader="none"/>
              </w:tabs>
              <w:autoSpaceDE w:val="false"/>
              <w:snapToGrid w:val="false"/>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autoSpaceDE w:val="false"/>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21</w:t>
            </w:r>
          </w:p>
        </w:tc>
      </w:tr>
      <w:tr>
        <w:trPr/>
        <w:tc>
          <w:tcPr>
            <w:tcW w:w="9380" w:type="dxa"/>
            <w:tcBorders/>
            <w:shd w:fill="auto" w:val="clear"/>
          </w:tcPr>
          <w:p>
            <w:pPr>
              <w:pStyle w:val="Normal"/>
              <w:tabs>
                <w:tab w:val="clear" w:pos="708"/>
                <w:tab w:val="left" w:pos="0" w:leader="none"/>
              </w:tabs>
              <w:autoSpaceDE w:val="false"/>
              <w:spacing w:lineRule="auto" w:line="360" w:before="0" w:after="0"/>
              <w:ind w:left="-108" w:hanging="0"/>
              <w:jc w:val="both"/>
              <w:rPr>
                <w:rFonts w:ascii="Times New Roman" w:hAnsi="Times New Roman" w:cs="Times New Roman"/>
                <w:bCs/>
                <w:sz w:val="28"/>
                <w:szCs w:val="28"/>
              </w:rPr>
            </w:pPr>
            <w:r>
              <w:rPr>
                <w:rFonts w:cs="Times New Roman" w:ascii="Times New Roman" w:hAnsi="Times New Roman"/>
                <w:bCs/>
                <w:sz w:val="28"/>
                <w:szCs w:val="28"/>
              </w:rPr>
              <w:t>III. Первичные средства пожаротушения и порядок действий граждан при пожаре……………………………………………………………………………....</w:t>
            </w:r>
          </w:p>
        </w:tc>
        <w:tc>
          <w:tcPr>
            <w:tcW w:w="674" w:type="dxa"/>
            <w:tcBorders/>
            <w:shd w:fill="auto" w:val="clear"/>
          </w:tcPr>
          <w:p>
            <w:pPr>
              <w:pStyle w:val="Normal"/>
              <w:tabs>
                <w:tab w:val="clear" w:pos="708"/>
                <w:tab w:val="left" w:pos="0" w:leader="none"/>
              </w:tabs>
              <w:autoSpaceDE w:val="false"/>
              <w:snapToGrid w:val="false"/>
              <w:spacing w:lineRule="auto" w:line="360"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tabs>
                <w:tab w:val="clear" w:pos="708"/>
                <w:tab w:val="left" w:pos="0" w:leader="none"/>
              </w:tabs>
              <w:autoSpaceDE w:val="false"/>
              <w:spacing w:lineRule="auto" w:line="360" w:before="0" w:after="0"/>
              <w:jc w:val="both"/>
              <w:rPr>
                <w:rFonts w:ascii="Times New Roman" w:hAnsi="Times New Roman" w:cs="Times New Roman"/>
                <w:bCs/>
                <w:sz w:val="28"/>
                <w:szCs w:val="28"/>
              </w:rPr>
            </w:pPr>
            <w:r>
              <w:rPr>
                <w:rFonts w:cs="Times New Roman" w:ascii="Times New Roman" w:hAnsi="Times New Roman"/>
                <w:bCs/>
                <w:sz w:val="28"/>
                <w:szCs w:val="28"/>
              </w:rPr>
              <w:t>53</w:t>
            </w:r>
          </w:p>
        </w:tc>
      </w:tr>
      <w:tr>
        <w:trPr/>
        <w:tc>
          <w:tcPr>
            <w:tcW w:w="9380" w:type="dxa"/>
            <w:tcBorders/>
            <w:shd w:fill="auto" w:val="clear"/>
          </w:tcPr>
          <w:p>
            <w:pPr>
              <w:pStyle w:val="Normal"/>
              <w:autoSpaceDE w:val="false"/>
              <w:spacing w:lineRule="auto" w:line="360" w:before="0" w:after="0"/>
              <w:ind w:left="-108" w:right="-84" w:hanging="0"/>
              <w:rPr>
                <w:rFonts w:ascii="Times New Roman" w:hAnsi="Times New Roman" w:cs="Times New Roman"/>
                <w:sz w:val="28"/>
                <w:szCs w:val="28"/>
              </w:rPr>
            </w:pPr>
            <w:r>
              <w:rPr>
                <w:rFonts w:cs="Times New Roman" w:ascii="Times New Roman" w:hAnsi="Times New Roman"/>
                <w:sz w:val="28"/>
                <w:szCs w:val="28"/>
              </w:rPr>
              <w:t>Список использованных источников…………………………………………......</w:t>
            </w:r>
          </w:p>
        </w:tc>
        <w:tc>
          <w:tcPr>
            <w:tcW w:w="674" w:type="dxa"/>
            <w:tcBorders/>
            <w:shd w:fill="auto" w:val="clear"/>
          </w:tcPr>
          <w:p>
            <w:pPr>
              <w:pStyle w:val="Normal"/>
              <w:tabs>
                <w:tab w:val="clear" w:pos="708"/>
                <w:tab w:val="left" w:pos="0" w:leader="none"/>
              </w:tabs>
              <w:autoSpaceDE w:val="false"/>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60</w:t>
            </w:r>
          </w:p>
        </w:tc>
      </w:tr>
      <w:tr>
        <w:trPr/>
        <w:tc>
          <w:tcPr>
            <w:tcW w:w="9380" w:type="dxa"/>
            <w:tcBorders/>
            <w:shd w:fill="auto" w:val="clear"/>
          </w:tcPr>
          <w:p>
            <w:pPr>
              <w:pStyle w:val="Normal"/>
              <w:autoSpaceDE w:val="false"/>
              <w:spacing w:lineRule="auto" w:line="360" w:before="0" w:after="0"/>
              <w:ind w:left="-108" w:hanging="0"/>
              <w:jc w:val="both"/>
              <w:rPr>
                <w:rFonts w:ascii="Times New Roman" w:hAnsi="Times New Roman" w:cs="Times New Roman"/>
                <w:sz w:val="28"/>
                <w:szCs w:val="28"/>
              </w:rPr>
            </w:pPr>
            <w:r>
              <w:rPr>
                <w:rFonts w:cs="Times New Roman" w:ascii="Times New Roman" w:hAnsi="Times New Roman"/>
                <w:sz w:val="28"/>
                <w:szCs w:val="28"/>
              </w:rPr>
              <w:t>Приложение. Обстановка с пожарами на территории Российской Федерации в период 2019-2021 годов…………………………………………………………</w:t>
            </w:r>
          </w:p>
        </w:tc>
        <w:tc>
          <w:tcPr>
            <w:tcW w:w="674" w:type="dxa"/>
            <w:tcBorders/>
            <w:shd w:fill="auto" w:val="clear"/>
          </w:tcPr>
          <w:p>
            <w:pPr>
              <w:pStyle w:val="Normal"/>
              <w:tabs>
                <w:tab w:val="clear" w:pos="708"/>
                <w:tab w:val="left" w:pos="0" w:leader="none"/>
              </w:tabs>
              <w:autoSpaceDE w:val="false"/>
              <w:snapToGrid w:val="false"/>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0" w:leader="none"/>
              </w:tabs>
              <w:autoSpaceDE w:val="false"/>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62</w:t>
            </w:r>
          </w:p>
        </w:tc>
      </w:tr>
    </w:tbl>
    <w:p>
      <w:pPr>
        <w:pStyle w:val="Normal"/>
        <w:tabs>
          <w:tab w:val="clear" w:pos="708"/>
          <w:tab w:val="left" w:pos="0" w:leader="none"/>
        </w:tabs>
        <w:autoSpaceDE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autoSpaceDE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r>
        <w:br w:type="page"/>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Используемые сокращения</w:t>
      </w:r>
    </w:p>
    <w:p>
      <w:pPr>
        <w:pStyle w:val="Style32"/>
        <w:numPr>
          <w:ilvl w:val="0"/>
          <w:numId w:val="17"/>
        </w:numPr>
        <w:ind w:left="0" w:hanging="360"/>
        <w:jc w:val="both"/>
        <w:rPr/>
      </w:pPr>
      <w:r>
        <w:rPr>
          <w:rFonts w:cs="Times New Roman" w:ascii="Times New Roman" w:hAnsi="Times New Roman"/>
          <w:sz w:val="28"/>
          <w:szCs w:val="28"/>
        </w:rPr>
        <w:t>ГЖ – горючая жидкость.</w:t>
      </w:r>
    </w:p>
    <w:p>
      <w:pPr>
        <w:pStyle w:val="Style32"/>
        <w:numPr>
          <w:ilvl w:val="0"/>
          <w:numId w:val="17"/>
        </w:numPr>
        <w:ind w:left="0" w:hanging="360"/>
        <w:jc w:val="both"/>
        <w:rPr/>
      </w:pPr>
      <w:r>
        <w:rPr>
          <w:rFonts w:cs="Times New Roman" w:ascii="Times New Roman" w:hAnsi="Times New Roman"/>
          <w:sz w:val="28"/>
          <w:szCs w:val="28"/>
        </w:rPr>
        <w:t>ЛВЖ – легковоспламеняющаяся жидкость.</w:t>
      </w:r>
    </w:p>
    <w:p>
      <w:pPr>
        <w:pStyle w:val="Style32"/>
        <w:numPr>
          <w:ilvl w:val="0"/>
          <w:numId w:val="17"/>
        </w:numPr>
        <w:ind w:left="0" w:hanging="360"/>
        <w:jc w:val="both"/>
        <w:rPr/>
      </w:pPr>
      <w:r>
        <w:rPr>
          <w:rFonts w:cs="Times New Roman" w:ascii="Times New Roman" w:hAnsi="Times New Roman"/>
          <w:sz w:val="28"/>
          <w:szCs w:val="28"/>
        </w:rPr>
        <w:t>СОУЭ – система оповещения и управления эвакуацией людей при пожаре.</w:t>
      </w:r>
    </w:p>
    <w:p>
      <w:pPr>
        <w:pStyle w:val="Style32"/>
        <w:numPr>
          <w:ilvl w:val="0"/>
          <w:numId w:val="17"/>
        </w:numPr>
        <w:ind w:left="0" w:hanging="360"/>
        <w:jc w:val="both"/>
        <w:rPr>
          <w:rFonts w:ascii="Times New Roman" w:hAnsi="Times New Roman" w:cs="Times New Roman"/>
          <w:sz w:val="28"/>
          <w:szCs w:val="28"/>
        </w:rPr>
      </w:pPr>
      <w:r>
        <w:rPr>
          <w:rFonts w:cs="Times New Roman" w:ascii="Times New Roman" w:hAnsi="Times New Roman"/>
          <w:sz w:val="28"/>
          <w:szCs w:val="28"/>
        </w:rPr>
        <w:t>ТЭН –  трубчатый электронагреватель.</w:t>
      </w:r>
    </w:p>
    <w:p>
      <w:pPr>
        <w:pStyle w:val="Style32"/>
        <w:numPr>
          <w:ilvl w:val="0"/>
          <w:numId w:val="17"/>
        </w:numPr>
        <w:ind w:left="0" w:hanging="360"/>
        <w:jc w:val="both"/>
        <w:rPr/>
      </w:pPr>
      <w:r>
        <w:rPr>
          <w:rFonts w:cs="Times New Roman" w:ascii="Times New Roman" w:hAnsi="Times New Roman"/>
          <w:sz w:val="28"/>
          <w:szCs w:val="28"/>
        </w:rPr>
        <w:t>СПС – системы пожарной сигнализации.</w:t>
      </w:r>
    </w:p>
    <w:p>
      <w:pPr>
        <w:pStyle w:val="Style32"/>
        <w:numPr>
          <w:ilvl w:val="0"/>
          <w:numId w:val="17"/>
        </w:numPr>
        <w:ind w:left="0" w:hanging="360"/>
        <w:jc w:val="both"/>
        <w:rPr>
          <w:rFonts w:ascii="Times New Roman" w:hAnsi="Times New Roman" w:cs="Times New Roman"/>
          <w:sz w:val="28"/>
          <w:szCs w:val="28"/>
        </w:rPr>
      </w:pPr>
      <w:r>
        <w:rPr>
          <w:rFonts w:cs="Times New Roman" w:ascii="Times New Roman" w:hAnsi="Times New Roman"/>
          <w:sz w:val="28"/>
          <w:szCs w:val="28"/>
        </w:rPr>
        <w:t>ДПИ – дымовой пожарный извещатель.</w:t>
      </w:r>
      <w:r>
        <w:br w:type="page"/>
      </w:r>
    </w:p>
    <w:p>
      <w:pPr>
        <w:pStyle w:val="Normal"/>
        <w:jc w:val="center"/>
        <w:rPr>
          <w:rFonts w:ascii="Times New Roman" w:hAnsi="Times New Roman" w:cs="Times New Roman"/>
          <w:b/>
          <w:b/>
          <w:sz w:val="28"/>
          <w:szCs w:val="28"/>
        </w:rPr>
      </w:pPr>
      <w:r>
        <w:rPr>
          <w:rFonts w:cs="Times New Roman" w:ascii="Times New Roman" w:hAnsi="Times New Roman"/>
          <w:b/>
          <w:sz w:val="28"/>
          <w:szCs w:val="28"/>
        </w:rPr>
        <w:t>Введение</w:t>
      </w:r>
    </w:p>
    <w:p>
      <w:pPr>
        <w:pStyle w:val="Normal"/>
        <w:autoSpaceDE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12"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Наибольшее количество пожаров в зданиях и сооружениях (94%) происходят в жилье. Более 90% всех погибших на пожарах людей приходится</w:t>
        <w:br/>
        <w:t>на жилой сектор.</w:t>
      </w:r>
    </w:p>
    <w:p>
      <w:pPr>
        <w:pStyle w:val="Normal"/>
        <w:spacing w:lineRule="auto" w:line="312" w:before="0" w:after="0"/>
        <w:ind w:firstLine="709"/>
        <w:jc w:val="both"/>
        <w:rPr>
          <w:rFonts w:ascii="Times New Roman" w:hAnsi="Times New Roman" w:cs="Times New Roman"/>
          <w:sz w:val="28"/>
          <w:szCs w:val="28"/>
        </w:rPr>
      </w:pPr>
      <w:r>
        <w:rPr>
          <w:rFonts w:eastAsia="Calibri" w:cs="Times New Roman" w:ascii="Times New Roman" w:hAnsi="Times New Roman"/>
          <w:sz w:val="28"/>
          <w:szCs w:val="28"/>
        </w:rPr>
        <w:t>Для снижения количества пожаров в жилых помещениях и гибели людей необходимо повысить уровень профилактической работы среди населения</w:t>
      </w:r>
      <w:r>
        <w:rPr>
          <w:rFonts w:cs="Times New Roman" w:ascii="Times New Roman" w:hAnsi="Times New Roman"/>
          <w:sz w:val="28"/>
          <w:szCs w:val="28"/>
        </w:rPr>
        <w:t>.</w:t>
      </w:r>
    </w:p>
    <w:p>
      <w:pPr>
        <w:pStyle w:val="Normal"/>
        <w:spacing w:lineRule="auto" w:line="312" w:before="0" w:after="0"/>
        <w:ind w:firstLine="709"/>
        <w:jc w:val="both"/>
        <w:rPr>
          <w:rFonts w:ascii="Times New Roman" w:hAnsi="Times New Roman" w:eastAsia="Calibri" w:cs="Times New Roman"/>
          <w:sz w:val="28"/>
          <w:szCs w:val="28"/>
        </w:rPr>
      </w:pPr>
      <w:r>
        <w:rPr>
          <w:rFonts w:cs="Times New Roman" w:ascii="Times New Roman" w:hAnsi="Times New Roman"/>
          <w:sz w:val="28"/>
          <w:szCs w:val="28"/>
        </w:rPr>
        <w:t>В целях оказания информационной и организационно-методической помощи гражданам разработана настоящая методика.</w:t>
      </w:r>
    </w:p>
    <w:p>
      <w:pPr>
        <w:pStyle w:val="Normal"/>
        <w:spacing w:lineRule="auto" w:line="312"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Методика направлена на:</w:t>
      </w:r>
    </w:p>
    <w:p>
      <w:pPr>
        <w:pStyle w:val="Normal"/>
        <w:spacing w:lineRule="auto" w:line="312"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повышение правовой грамотности и социальной ответственности граждан</w:t>
        <w:br/>
        <w:t>по вопросам обеспечения пожарной безопасности посредством обучения населения по месту жительства основам пожаробезопасного поведения</w:t>
        <w:br/>
        <w:t>и проведения противопожарной пропаганды;</w:t>
      </w:r>
    </w:p>
    <w:p>
      <w:pPr>
        <w:pStyle w:val="Normal"/>
        <w:spacing w:lineRule="auto" w:line="312" w:before="0" w:after="0"/>
        <w:ind w:firstLine="709"/>
        <w:jc w:val="both"/>
        <w:rPr/>
      </w:pPr>
      <w:r>
        <w:rPr>
          <w:rFonts w:eastAsia="Calibri" w:cs="Times New Roman" w:ascii="Times New Roman" w:hAnsi="Times New Roman"/>
          <w:sz w:val="28"/>
          <w:szCs w:val="28"/>
        </w:rPr>
        <w:t>осуществление контроля за соблюдением правил пожарной безопасности при пользовании жилыми помещениями и местами общего пользования, организации систематической разъяснительной работы среди населения</w:t>
        <w:br/>
        <w:t>по вопросам пожарной безопасности;</w:t>
      </w:r>
    </w:p>
    <w:p>
      <w:pPr>
        <w:pStyle w:val="Normal"/>
        <w:spacing w:lineRule="auto" w:line="312" w:before="0" w:after="0"/>
        <w:ind w:firstLine="709"/>
        <w:jc w:val="both"/>
        <w:rPr/>
      </w:pPr>
      <w:r>
        <w:rPr>
          <w:rFonts w:eastAsia="Calibri" w:cs="Times New Roman" w:ascii="Times New Roman" w:hAnsi="Times New Roman"/>
          <w:sz w:val="28"/>
          <w:szCs w:val="28"/>
        </w:rPr>
        <w:t>разработку и осуществление мер по повышению противопожарной защиты эксплуатируемых жилых помещений;</w:t>
      </w:r>
    </w:p>
    <w:p>
      <w:pPr>
        <w:pStyle w:val="Normal"/>
        <w:spacing w:lineRule="auto" w:line="312" w:before="0" w:after="0"/>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предупреждение случаев самовольного изменения функционального назначения помещений в жилых домах в нарушение жилищного законодательства. </w:t>
      </w:r>
    </w:p>
    <w:p>
      <w:pPr>
        <w:pStyle w:val="Normal"/>
        <w:spacing w:lineRule="auto" w:line="312"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В первом разделе методики приведена памятка по профилактике пожаров</w:t>
        <w:br/>
        <w:t>для собственников и арендаторов жилых помещений. Памятка содержит: правила и меры пожарной безопасности при обращении с электроприборами, газовыми приборами, меры пожарной безопасности при использовании бытовой химии, правила безопасности при проведении огневых и сварочных работ, правила эксплуатации печного оборудования в жилых домах, требования</w:t>
        <w:br/>
        <w:t>к содержанию подъездов, лестничных клеток, подвалов, чердаков, балконов, хозяйственных построек, территории дворов, гаражей, а также правила пожарной безопасности в жилых домах повышенной этажности.</w:t>
      </w:r>
    </w:p>
    <w:p>
      <w:pPr>
        <w:pStyle w:val="Normal"/>
        <w:spacing w:lineRule="auto" w:line="312"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r>
    </w:p>
    <w:p>
      <w:pPr>
        <w:pStyle w:val="Normal"/>
        <w:spacing w:lineRule="auto" w:line="312"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Второй раздел содержит листы самообследования на выявление факторов, способствующих возможности возникновения и распространения пожара</w:t>
        <w:br/>
        <w:t>для одноквартирных жилых домов, многоквартирных жилых домов этажностью</w:t>
        <w:br/>
        <w:t>до 9 этажей включительно и многоквартирных жилых домов этажностью</w:t>
        <w:br/>
        <w:t>свыше 10 этажей.</w:t>
      </w:r>
    </w:p>
    <w:p>
      <w:pPr>
        <w:pStyle w:val="Normal"/>
        <w:spacing w:lineRule="auto" w:line="312"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В третьем разделе методики рассмотрены первичные средства пожаротушения и порядок действий граждан при пожаре, средства индивидуальной защиты и спасения людей при пожаре, порядок действий</w:t>
        <w:br/>
        <w:t>в случае возникновения пожара в жилых помещениях.</w:t>
      </w:r>
    </w:p>
    <w:p>
      <w:pPr>
        <w:pStyle w:val="Normal"/>
        <w:spacing w:lineRule="auto" w:line="312" w:before="0" w:after="0"/>
        <w:ind w:firstLine="709"/>
        <w:jc w:val="both"/>
        <w:rPr/>
      </w:pPr>
      <w:r>
        <w:rPr>
          <w:rFonts w:cs="Times New Roman" w:ascii="Times New Roman" w:hAnsi="Times New Roman"/>
          <w:sz w:val="28"/>
          <w:szCs w:val="28"/>
          <w:shd w:fill="FFFFFF" w:val="clear"/>
        </w:rPr>
        <w:t>В приложении приведены справочно-информационные материалы</w:t>
        <w:br/>
        <w:t>по обстановке с пожарами на территории Российской Федерации в период 2019-2021 годов.</w:t>
      </w:r>
    </w:p>
    <w:p>
      <w:pPr>
        <w:pStyle w:val="Normal"/>
        <w:spacing w:lineRule="auto" w:line="312"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Настоящая Методика не является нормативным правовым актом,</w:t>
        <w:br/>
        <w:t>не содержит нормативных предписаний и носит рекомендательный характер.</w:t>
      </w:r>
      <w:r>
        <w:br w:type="page"/>
      </w:r>
    </w:p>
    <w:p>
      <w:pPr>
        <w:pStyle w:val="Normal"/>
        <w:spacing w:lineRule="auto" w:line="240" w:before="0" w:after="0"/>
        <w:ind w:left="142" w:firstLine="709"/>
        <w:jc w:val="both"/>
        <w:rPr>
          <w:rFonts w:ascii="Times New Roman" w:hAnsi="Times New Roman" w:eastAsia="Calibri" w:cs="Times New Roman"/>
          <w:sz w:val="28"/>
          <w:szCs w:val="28"/>
          <w:highlight w:val="white"/>
        </w:rPr>
      </w:pPr>
      <w:r>
        <w:rPr>
          <w:rFonts w:eastAsia="Calibri" w:cs="Times New Roman" w:ascii="Times New Roman" w:hAnsi="Times New Roman"/>
          <w:sz w:val="28"/>
          <w:szCs w:val="28"/>
          <w:shd w:fill="FFFFFF" w:val="clear"/>
        </w:rPr>
      </w:r>
    </w:p>
    <w:p>
      <w:pPr>
        <w:pStyle w:val="Normal"/>
        <w:autoSpaceDE w:val="false"/>
        <w:spacing w:lineRule="auto" w:line="240" w:before="0" w:after="0"/>
        <w:jc w:val="center"/>
        <w:rPr/>
      </w:pPr>
      <w:r>
        <w:rPr>
          <w:rFonts w:cs="Times New Roman" w:ascii="Times New Roman" w:hAnsi="Times New Roman"/>
          <w:b/>
          <w:bCs/>
          <w:sz w:val="28"/>
          <w:szCs w:val="28"/>
          <w:lang w:val="en-US"/>
        </w:rPr>
        <w:t>I</w:t>
      </w:r>
      <w:r>
        <w:rPr>
          <w:rFonts w:cs="Times New Roman" w:ascii="Times New Roman" w:hAnsi="Times New Roman"/>
          <w:b/>
          <w:bCs/>
          <w:sz w:val="28"/>
          <w:szCs w:val="28"/>
        </w:rPr>
        <w:t>. Памятка по профилактике пожаров для собственников и арендаторов жилых помещений</w:t>
      </w:r>
    </w:p>
    <w:p>
      <w:pPr>
        <w:pStyle w:val="Normal"/>
        <w:autoSpaceDE w:val="false"/>
        <w:spacing w:lineRule="auto" w:line="240"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jc w:val="center"/>
        <w:rPr/>
      </w:pPr>
      <w:r>
        <w:rPr>
          <w:rFonts w:cs="Times New Roman" w:ascii="Times New Roman" w:hAnsi="Times New Roman"/>
          <w:b/>
          <w:sz w:val="28"/>
          <w:szCs w:val="28"/>
        </w:rPr>
        <w:t>1. Обеспечение пожарной безопасности при обращении</w:t>
        <w:br/>
        <w:t>с электроприборами</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Основные причины пожаров, связанные с неисправностями электроприборов</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1.</w:t>
        <w:tab/>
        <w:t>Короткое замыкание, образующееся при нарушении целостности изоляции и соединении двух соседних оголенных проводов одного электрического кабеля, при этом наблюдается искрение.</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2.</w:t>
        <w:tab/>
        <w:t xml:space="preserve">Перегрев и возгорание электропроводки в местах некачественного контакта в розетках и местах соединения проводов. </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Правила и меры пожарной безопасности при обращении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с электроприборами</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1.</w:t>
        <w:tab/>
        <w:t>Неукоснительно соблюдать порядок включения электроприбора</w:t>
        <w:br/>
        <w:t xml:space="preserve">в сеть: сетевой шнур сначала подключать к прибору, а затем к сети. Отключение прибора производится в обратном порядке. </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2.</w:t>
        <w:tab/>
        <w:t>При необходимости провести обслуживание или ремонт электроприборов, следует убедиться в их отключении из сети.</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3.</w:t>
        <w:tab/>
        <w:t>Не пользоваться электроприборами с видимыми повреждениями изоляции.</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4.</w:t>
        <w:tab/>
        <w:t>Использовать электроутюг, электроплитку, электрочайник, паяльник на безопасном расстоянии от легкозагорающихся предметов, например занавесок, портьер, скатертей.</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5.</w:t>
        <w:tab/>
        <w:t>Запрещается включать одновременно несколько мощных энергопотребителей (электрический чайник, тостер, утюг и др.), а также вставлять один удлинитель в другой, с целью подключения дополнительных приборов в свободные розетки от одной линии питания – это может вызвать перегрузку сети, которая в свою очередь способна привести к короткому замыканию и пожару.</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6.</w:t>
        <w:tab/>
        <w:t xml:space="preserve">Не оставлять без присмотра включенные в сеть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7.</w:t>
        <w:tab/>
        <w:t xml:space="preserve">Не использовать электронагревательные приборы с неисправными устройствами тепловой защиты, а также при отсутствии или неисправности терморегуляторов, предусмотренных конструкцией. </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8.</w:t>
        <w:tab/>
        <w:t>Подход к розетке должен обеспечивать возможность отключения электроприбора от сети в кратчайшие сроки в случае его возгорания</w:t>
        <w:br/>
        <w:t>или появления первых признаков возгорания.</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9.</w:t>
        <w:tab/>
        <w:t xml:space="preserve">Вокруг электроприборов не следует размещать горючие материалы (шторы, книги, газеты, пластиковые салфетки и прочее). </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10.</w:t>
        <w:tab/>
        <w:t>Эксплуатировать электрооборудование строго согласно инструкции завода-производителя.</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11.</w:t>
        <w:tab/>
        <w:t>Не накрывайте электронагревательные приборы горючими материалами (бумагой, тканью).</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12.</w:t>
        <w:tab/>
        <w:t>Не следует самостоятельно выбирать и подключать дополнительные элементы к электроприборам, в случае неполной и/или несоответствующей действующим стандартам изготовления электроприборов заводом-производителем. Важно знать: адаптеры (переходники) не изменяют напряжение в сети, они только совмещают вилку одного типа с электророзеткой другого.</w:t>
      </w:r>
    </w:p>
    <w:p>
      <w:pPr>
        <w:pStyle w:val="Normal"/>
        <w:tabs>
          <w:tab w:val="clear" w:pos="708"/>
          <w:tab w:val="left" w:pos="1276"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Признаки возможного загорания электроприборов:</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1.</w:t>
        <w:tab/>
        <w:t>Дым или запах горелой резины (пластика, дерева).</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2.</w:t>
        <w:tab/>
        <w:t>Сильный нагрев отдельных частей или электроприбора в целом.</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3.</w:t>
        <w:tab/>
        <w:t>Искрение, вспышки света, треск, гудение в электроприборе.</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появлении любого из этих признаков необходимо немедленно отключить прибор от электрической сети или обесточить линию!</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Style32"/>
        <w:spacing w:lineRule="auto" w:line="240" w:before="0" w:after="0"/>
        <w:ind w:left="0" w:hanging="0"/>
        <w:contextualSpacing/>
        <w:jc w:val="center"/>
        <w:rPr>
          <w:rFonts w:ascii="Times New Roman" w:hAnsi="Times New Roman" w:cs="Times New Roman"/>
          <w:b/>
          <w:b/>
          <w:sz w:val="28"/>
          <w:szCs w:val="28"/>
        </w:rPr>
      </w:pPr>
      <w:r>
        <w:rPr>
          <w:rFonts w:cs="Times New Roman" w:ascii="Times New Roman" w:hAnsi="Times New Roman"/>
          <w:b/>
          <w:sz w:val="28"/>
          <w:szCs w:val="28"/>
        </w:rPr>
        <w:t>Основные правила пожарной безопасности при использовании электроприборов с нагревательным устройством</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1.</w:t>
        <w:tab/>
        <w:t>Соблюдать инструкцию по эксплуатации.</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2.</w:t>
        <w:tab/>
        <w:t>Не оставлять электронагревательные приборы без присмотра.</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3.</w:t>
        <w:tab/>
        <w:t>Не допускать, чтобы провода питания электронагревательного прибора соприкасались с ним, это может привести к их перегреву, нарушению изоляции и короткому замыканию.</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4.</w:t>
        <w:tab/>
        <w:t xml:space="preserve">Не закрывать вентиляционные отверстия электронагревательного прибора, это может привести к его перегреву. </w:t>
      </w:r>
    </w:p>
    <w:p>
      <w:pPr>
        <w:pStyle w:val="Style32"/>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5.</w:t>
        <w:tab/>
        <w:t>Не прислонять посторонние предметы к нагревателю и не ставьте</w:t>
        <w:br/>
        <w:t>их на нагреватели.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Style32"/>
        <w:spacing w:lineRule="auto" w:line="240" w:before="0" w:after="0"/>
        <w:ind w:left="0" w:hanging="0"/>
        <w:contextualSpacing/>
        <w:jc w:val="center"/>
        <w:rPr>
          <w:rFonts w:ascii="Times New Roman" w:hAnsi="Times New Roman" w:cs="Times New Roman"/>
          <w:b/>
          <w:b/>
          <w:sz w:val="28"/>
          <w:szCs w:val="28"/>
        </w:rPr>
      </w:pPr>
      <w:r>
        <w:rPr>
          <w:rFonts w:cs="Times New Roman" w:ascii="Times New Roman" w:hAnsi="Times New Roman"/>
          <w:b/>
          <w:sz w:val="28"/>
          <w:szCs w:val="28"/>
        </w:rPr>
        <w:t xml:space="preserve">Основные правила пожарной безопасности при использовании осветительных электроприборов </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1.</w:t>
        <w:tab/>
        <w:t>Не использовать бумагу, ткань и другие горючие материалы</w:t>
        <w:br/>
        <w:t>в качестве экрана или абажура ламп накаливания.</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2.</w:t>
        <w:tab/>
        <w:t>Выключать светильник из сети при замене ламп, а замену светильников производить, только убедившись, что помещение обесточено.</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3.</w:t>
        <w:tab/>
        <w:t>Для помещений ванных комнат использовать влагостойкие светильники.</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4.</w:t>
        <w:tab/>
        <w:t>При использовании в комнате дополнительного освещения</w:t>
        <w:br/>
        <w:t>не используйте удлинители, так как велика вероятность за них запнуться</w:t>
        <w:br/>
        <w:t>и опрокинуть осветительный прибор.</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5.</w:t>
        <w:tab/>
        <w:t>Внимательно выбирайте лампы для светильников, так как</w:t>
        <w:br/>
        <w:t>для каждого вида осветительного прибора предназначена лампа определенной мощности.</w:t>
      </w:r>
    </w:p>
    <w:p>
      <w:pPr>
        <w:pStyle w:val="Style32"/>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6.</w:t>
        <w:tab/>
        <w:t>Запрещается производить сушку белья в непосредственной близости к лампам накаливания (светильникам).</w:t>
      </w:r>
    </w:p>
    <w:p>
      <w:pPr>
        <w:pStyle w:val="Style32"/>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Style32"/>
        <w:spacing w:lineRule="auto" w:line="240" w:before="0" w:after="0"/>
        <w:ind w:left="0" w:firstLine="709"/>
        <w:contextualSpacing/>
        <w:jc w:val="center"/>
        <w:rPr>
          <w:rFonts w:ascii="Times New Roman" w:hAnsi="Times New Roman" w:cs="Times New Roman"/>
          <w:b/>
          <w:b/>
          <w:sz w:val="28"/>
          <w:szCs w:val="28"/>
        </w:rPr>
      </w:pPr>
      <w:r>
        <w:rPr>
          <w:rFonts w:cs="Times New Roman" w:ascii="Times New Roman" w:hAnsi="Times New Roman"/>
          <w:b/>
          <w:sz w:val="28"/>
          <w:szCs w:val="28"/>
        </w:rPr>
        <w:t>Основные правила пожарной безопасности при использовании бытовых электроприборов</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1.</w:t>
        <w:tab/>
        <w:t>По окончанию зарядки устройства не оставляйте блок зарядного устройства в розетке.</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2.</w:t>
        <w:tab/>
        <w:t>Не оставляйте телефоны, планшеты, гироскутеры, электросамокаты, зарядные устройства, смарт-устройства заряжаться на всю ночь,</w:t>
        <w:br/>
        <w:t>либо без контроля, это может привести к перегреву устройства и пожару.</w:t>
      </w:r>
    </w:p>
    <w:p>
      <w:pPr>
        <w:pStyle w:val="Style32"/>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3.</w:t>
        <w:tab/>
        <w:t>Используйте только оригинальные зарядные устройства и батареи питания телефонов, планшетов.</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4.</w:t>
        <w:tab/>
        <w:t>Если батарея питания устройства изменила форму, деформировалась,</w:t>
        <w:br/>
        <w:t>то необходимо прекратить её использование.</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5.</w:t>
        <w:tab/>
        <w:t>Не оставляйте телефоны, планшеты, зарядные устройства,</w:t>
        <w:br/>
        <w:t>смарт-устройства под прямыми лучами солнца – это может привести к их перегреву</w:t>
        <w:br/>
        <w:t>и возможному воспламенению.</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6.</w:t>
        <w:tab/>
        <w:t>Не кладите телефоны и планшеты под подушку, одеяло –</w:t>
        <w:br/>
        <w:t>это приводит к перегреву и возможному воспламенению.</w:t>
      </w:r>
    </w:p>
    <w:p>
      <w:pPr>
        <w:pStyle w:val="Style32"/>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7.</w:t>
        <w:tab/>
        <w:t xml:space="preserve">Не рекомендуется разговаривать по телефону и играть во время его зарядки – это привет к перегреву устройства и возможному воспламенению. </w:t>
      </w:r>
    </w:p>
    <w:p>
      <w:pPr>
        <w:pStyle w:val="Style32"/>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8.</w:t>
        <w:tab/>
        <w:t>При попадании влаги в электроприборы пользуйтесь ими только после сервисного или профессионального обслуживания.</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2. Основные правила использования бытовых газовых приборов</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1.</w:t>
        <w:tab/>
        <w:t>Перед включением всех газовых приборов необходимо проветривать помещение и на все время работы обеспечить приток свежего воздуха</w:t>
        <w:br/>
        <w:t>в помещение.</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2.</w:t>
        <w:tab/>
        <w:t xml:space="preserve">Перед включением газовой плиты или горелки нужно сначала зажечь спичку, затем поднести огонь к конфорке и только после этого можно открывать кран на газовом приборе. </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3.</w:t>
        <w:tab/>
        <w:t>Не оставляйте работающие газовые приборы без внимания и следите, чтобы пламя конфорки не погасло.</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4.</w:t>
        <w:tab/>
        <w:t xml:space="preserve">Следите за исправностью дымоходов и вентиляционных каналов – проверяйте тягу до и после включения газового оборудования с отводом продуктов сгорания в дымоход, а также периодически во время его работы. Запрещается затыкать вентиляционные отверстия. </w:t>
      </w:r>
    </w:p>
    <w:p>
      <w:pPr>
        <w:pStyle w:val="Normal"/>
        <w:tabs>
          <w:tab w:val="clear" w:pos="708"/>
          <w:tab w:val="left" w:pos="1276" w:leader="none"/>
        </w:tabs>
        <w:spacing w:lineRule="auto" w:line="240" w:before="0" w:after="0"/>
        <w:ind w:firstLine="709"/>
        <w:jc w:val="both"/>
        <w:rPr/>
      </w:pPr>
      <w:r>
        <w:rPr>
          <w:rFonts w:cs="Times New Roman" w:ascii="Times New Roman" w:hAnsi="Times New Roman"/>
          <w:sz w:val="28"/>
          <w:szCs w:val="28"/>
        </w:rPr>
        <w:t>5.</w:t>
        <w:tab/>
        <w:t xml:space="preserve">В обязательном порядке регулярно самостоятельно проверяйте герметичность соединений газового оборудования с помощью мыльного раствора. </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Необходимо заключить договор со специализированной организацией на проверку технического состояния газового оборудования</w:t>
        <w:br/>
        <w:t>и его обслуживание.</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При пользовании в быту газовыми приборами следует выполнять следующие меры безопасности:</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Постоянно проверяйте тягу, держать вентиляционные отверстия</w:t>
        <w:br/>
        <w:t>в помещениях, где установлено газовое оборудование, открытыми. Горящий газ сжигает кислород, поэтому необходимо, чтобы в помещении обеспечивалась постоянная вентиляция.</w:t>
      </w:r>
    </w:p>
    <w:p>
      <w:pPr>
        <w:pStyle w:val="Style32"/>
        <w:numPr>
          <w:ilvl w:val="0"/>
          <w:numId w:val="5"/>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 использовании плиты убедитесь в отсутствии посторонних предметов вблизи газовых конфорок.</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Не используйте газовые плиты для отопления помещений.</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По окончании пользования газом закройте краны на газовых приборах, вентили перед ними, а при пользовании баллонами – и вентили баллонов.</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Не привязывайте веревки для сушки белья к газовым трубам (этим нарушается плотность резьбовых соединений, может возникнуть утечка газа</w:t>
        <w:br/>
        <w:t>и, как следствие, – взрыв). Не следует сушить белье над зажженной плитой.</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Уходя из квартиры, перекрывайте газ на трубе газопровода</w:t>
        <w:br/>
        <w:t>или закрутите вентиль на газовом баллоне.</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Не допускайте к пользованию газовыми приборами детей дошкольного возраста и лиц, не знающих правил их безопасного использования.</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 xml:space="preserve">При использовании газовых шлангов в металлической оплетке обязательно дополнительно применяйте диэлектрические вставки. </w:t>
      </w:r>
    </w:p>
    <w:p>
      <w:pPr>
        <w:pStyle w:val="Style32"/>
        <w:numPr>
          <w:ilvl w:val="0"/>
          <w:numId w:val="5"/>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Содержите газовые плиты в чистоте, не допускайте засоры форсунок газовых конфорок.</w:t>
      </w:r>
    </w:p>
    <w:p>
      <w:pPr>
        <w:pStyle w:val="Normal"/>
        <w:spacing w:lineRule="auto" w:line="240" w:before="0" w:after="0"/>
        <w:jc w:val="center"/>
        <w:rPr>
          <w:rFonts w:ascii="Times New Roman" w:hAnsi="Times New Roman" w:cs="Times New Roman"/>
          <w:b/>
          <w:b/>
          <w:sz w:val="16"/>
          <w:szCs w:val="16"/>
        </w:rPr>
      </w:pPr>
      <w:r>
        <w:rPr>
          <w:rFonts w:cs="Times New Roman" w:ascii="Times New Roman" w:hAnsi="Times New Roman"/>
          <w:b/>
          <w:sz w:val="16"/>
          <w:szCs w:val="16"/>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При использовании газового оборудования категорически запрещается:</w:t>
      </w:r>
    </w:p>
    <w:p>
      <w:pPr>
        <w:pStyle w:val="Style32"/>
        <w:numPr>
          <w:ilvl w:val="0"/>
          <w:numId w:val="16"/>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неисправными газовыми приборами.</w:t>
      </w:r>
    </w:p>
    <w:p>
      <w:pPr>
        <w:pStyle w:val="Style32"/>
        <w:numPr>
          <w:ilvl w:val="0"/>
          <w:numId w:val="16"/>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Оставлять газовое оборудование включенными без присмотра,</w:t>
        <w:br/>
        <w:t>за исключением оборудования, которое должно находиться в круглосуточном режиме работы в соответствии с технической документацией.</w:t>
      </w:r>
    </w:p>
    <w:p>
      <w:pPr>
        <w:pStyle w:val="Style32"/>
        <w:numPr>
          <w:ilvl w:val="0"/>
          <w:numId w:val="16"/>
        </w:numPr>
        <w:tabs>
          <w:tab w:val="clear" w:pos="708"/>
          <w:tab w:val="left" w:pos="1276" w:leader="none"/>
        </w:tabs>
        <w:spacing w:lineRule="auto" w:line="240" w:before="0" w:after="0"/>
        <w:ind w:left="0" w:firstLine="709"/>
        <w:contextualSpacing/>
        <w:jc w:val="both"/>
        <w:rPr/>
      </w:pPr>
      <w:r>
        <w:rPr>
          <w:rFonts w:cs="Times New Roman" w:ascii="Times New Roman" w:hAnsi="Times New Roman"/>
          <w:sz w:val="28"/>
          <w:szCs w:val="28"/>
        </w:rPr>
        <w:t>Устанавливать (размещать) мебель и другие горючие предметы</w:t>
        <w:br/>
        <w:t>и материалы на расстоянии менее 0,2 метра от бытовых газовых плит, встраиваемых бытовых приборов по горизонтали (за исключением бытовых газовых плит, встраиваемых газовых приборов, устанавливаемых в соответствии</w:t>
        <w:br/>
        <w:t>с технической документацией изготовителя) и менее 0,7 метра по вертикали</w:t>
        <w:br/>
        <w:t>(при нависании указанных предметов и материалов над газовыми приборами).</w:t>
      </w:r>
    </w:p>
    <w:p>
      <w:pPr>
        <w:pStyle w:val="Style32"/>
        <w:numPr>
          <w:ilvl w:val="0"/>
          <w:numId w:val="16"/>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Самостоятельно переустанавливать и ремонтировать газовые приборы, баллоны, арматуру.</w:t>
      </w:r>
    </w:p>
    <w:p>
      <w:pPr>
        <w:pStyle w:val="Style32"/>
        <w:numPr>
          <w:ilvl w:val="0"/>
          <w:numId w:val="16"/>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Сгибать и скручивать газовые шланги, допускать повреждение наружного слоя шлангов (порезы, трещины, изломы).</w:t>
      </w:r>
    </w:p>
    <w:p>
      <w:pPr>
        <w:pStyle w:val="Style32"/>
        <w:numPr>
          <w:ilvl w:val="0"/>
          <w:numId w:val="16"/>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Располагать вблизи работающей плиты легковоспламеняющиеся материалы и жидкости.</w:t>
      </w:r>
    </w:p>
    <w:p>
      <w:pPr>
        <w:pStyle w:val="Style32"/>
        <w:numPr>
          <w:ilvl w:val="0"/>
          <w:numId w:val="16"/>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для сна и отдыха помещения, где установлены газовые приборы, выполнять перепланировку помещений, где установлено газовое оборудование (объединение жилых комнат и помещений кухни).</w:t>
      </w:r>
    </w:p>
    <w:p>
      <w:pPr>
        <w:pStyle w:val="Style32"/>
        <w:numPr>
          <w:ilvl w:val="0"/>
          <w:numId w:val="16"/>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Присоединять детали газовой арматуры с помощью искрообразующего инструмента.</w:t>
      </w:r>
    </w:p>
    <w:p>
      <w:pPr>
        <w:pStyle w:val="Normal"/>
        <w:spacing w:lineRule="auto" w:line="288" w:before="0" w:after="0"/>
        <w:jc w:val="center"/>
        <w:rPr>
          <w:rFonts w:ascii="Times New Roman" w:hAnsi="Times New Roman" w:cs="Times New Roman"/>
          <w:b/>
          <w:b/>
          <w:sz w:val="28"/>
          <w:szCs w:val="28"/>
        </w:rPr>
      </w:pPr>
      <w:r>
        <w:rPr>
          <w:rFonts w:cs="Times New Roman" w:ascii="Times New Roman" w:hAnsi="Times New Roman"/>
          <w:b/>
          <w:sz w:val="28"/>
          <w:szCs w:val="28"/>
        </w:rPr>
        <w:t>Способы обнаружения утечки газа:</w:t>
      </w:r>
    </w:p>
    <w:p>
      <w:pPr>
        <w:pStyle w:val="Normal"/>
        <w:tabs>
          <w:tab w:val="clear" w:pos="708"/>
          <w:tab w:val="left" w:pos="1276" w:leader="none"/>
        </w:tabs>
        <w:spacing w:lineRule="auto" w:line="288" w:before="0" w:after="0"/>
        <w:ind w:firstLine="709"/>
        <w:jc w:val="both"/>
        <w:rPr/>
      </w:pPr>
      <w:r>
        <w:rPr>
          <w:rFonts w:cs="Times New Roman" w:ascii="Times New Roman" w:hAnsi="Times New Roman"/>
          <w:sz w:val="28"/>
          <w:szCs w:val="28"/>
        </w:rPr>
        <w:t>1.</w:t>
        <w:tab/>
        <w:t>С помощью бытовых газоанализаторов, которые устанавливаются</w:t>
        <w:br/>
        <w:t>в одном помещении с газовым прибором.</w:t>
      </w:r>
    </w:p>
    <w:p>
      <w:pPr>
        <w:pStyle w:val="Normal"/>
        <w:tabs>
          <w:tab w:val="clear" w:pos="708"/>
          <w:tab w:val="left" w:pos="1276" w:leader="none"/>
        </w:tabs>
        <w:spacing w:lineRule="auto" w:line="288" w:before="0" w:after="0"/>
        <w:ind w:firstLine="709"/>
        <w:jc w:val="both"/>
        <w:rPr/>
      </w:pPr>
      <w:r>
        <w:rPr>
          <w:rFonts w:cs="Times New Roman" w:ascii="Times New Roman" w:hAnsi="Times New Roman"/>
          <w:sz w:val="28"/>
          <w:szCs w:val="28"/>
        </w:rPr>
        <w:t>2.</w:t>
        <w:tab/>
        <w:t>На глаз: в местах соединения шлангов, кранов наносится мыльный раствор, в местах появления мыльных пузырьков имеются утечки газа.</w:t>
      </w:r>
    </w:p>
    <w:p>
      <w:pPr>
        <w:pStyle w:val="Normal"/>
        <w:tabs>
          <w:tab w:val="clear" w:pos="708"/>
          <w:tab w:val="left" w:pos="1276" w:leader="none"/>
        </w:tabs>
        <w:spacing w:lineRule="auto" w:line="288" w:before="0" w:after="0"/>
        <w:ind w:firstLine="709"/>
        <w:jc w:val="both"/>
        <w:rPr/>
      </w:pPr>
      <w:r>
        <w:rPr>
          <w:rFonts w:cs="Times New Roman" w:ascii="Times New Roman" w:hAnsi="Times New Roman"/>
          <w:sz w:val="28"/>
          <w:szCs w:val="28"/>
        </w:rPr>
        <w:t>3.</w:t>
        <w:tab/>
        <w:t>На слух: в случае сильной утечки газ вырывается со свистом.</w:t>
      </w:r>
    </w:p>
    <w:p>
      <w:pPr>
        <w:pStyle w:val="Normal"/>
        <w:tabs>
          <w:tab w:val="clear" w:pos="708"/>
          <w:tab w:val="left" w:pos="1276" w:leader="none"/>
        </w:tabs>
        <w:spacing w:lineRule="auto" w:line="288" w:before="0" w:after="0"/>
        <w:ind w:firstLine="709"/>
        <w:jc w:val="both"/>
        <w:rPr/>
      </w:pPr>
      <w:r>
        <w:rPr>
          <w:rFonts w:cs="Times New Roman" w:ascii="Times New Roman" w:hAnsi="Times New Roman"/>
          <w:sz w:val="28"/>
          <w:szCs w:val="28"/>
        </w:rPr>
        <w:t>4.</w:t>
        <w:tab/>
        <w:t xml:space="preserve">По запаху: характерный запах, который выделяет газ, становится сильнее вблизи места утечки. </w:t>
      </w:r>
    </w:p>
    <w:p>
      <w:pPr>
        <w:pStyle w:val="Normal"/>
        <w:tabs>
          <w:tab w:val="clear" w:pos="708"/>
          <w:tab w:val="left" w:pos="1276" w:leader="none"/>
        </w:tabs>
        <w:spacing w:lineRule="auto" w:line="288" w:before="0" w:after="0"/>
        <w:ind w:firstLine="709"/>
        <w:jc w:val="both"/>
        <w:rPr/>
      </w:pPr>
      <w:r>
        <w:rPr>
          <w:rFonts w:cs="Times New Roman" w:ascii="Times New Roman" w:hAnsi="Times New Roman"/>
          <w:sz w:val="28"/>
          <w:szCs w:val="28"/>
        </w:rPr>
        <w:t>Категорически запрещено искать место утечки газа с помощью открытого пламени. При обнаружении утечки газа (или признаках), следует прекратить подачу газа, если это возможно, хорошо проветрить помещение. Запрещается при утечке газа включать и выключать электроприборы, это может вызвать образование искры или огня в загазованном помещении, а также привести</w:t>
        <w:br/>
        <w:t>к взрыву. Обязательно вызвать газовую службу.</w:t>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276" w:leader="none"/>
        </w:tabs>
        <w:spacing w:lineRule="auto" w:line="288" w:before="0" w:after="0"/>
        <w:jc w:val="center"/>
        <w:rPr>
          <w:rFonts w:ascii="Times New Roman" w:hAnsi="Times New Roman" w:cs="Times New Roman"/>
          <w:b/>
          <w:b/>
          <w:sz w:val="28"/>
          <w:szCs w:val="28"/>
        </w:rPr>
      </w:pPr>
      <w:r>
        <w:rPr>
          <w:rFonts w:cs="Times New Roman" w:ascii="Times New Roman" w:hAnsi="Times New Roman"/>
          <w:b/>
          <w:sz w:val="28"/>
          <w:szCs w:val="28"/>
        </w:rPr>
        <w:t>Правила пользования индивидуальными газовыми баллонами.</w:t>
      </w:r>
    </w:p>
    <w:p>
      <w:pPr>
        <w:pStyle w:val="Style32"/>
        <w:numPr>
          <w:ilvl w:val="0"/>
          <w:numId w:val="12"/>
        </w:numPr>
        <w:tabs>
          <w:tab w:val="clear" w:pos="708"/>
          <w:tab w:val="left" w:pos="1276" w:leader="none"/>
        </w:tabs>
        <w:spacing w:lineRule="auto" w:line="288" w:before="0" w:after="0"/>
        <w:ind w:left="0" w:firstLine="709"/>
        <w:contextualSpacing/>
        <w:jc w:val="both"/>
        <w:rPr/>
      </w:pPr>
      <w:r>
        <w:rPr>
          <w:rFonts w:cs="Times New Roman" w:ascii="Times New Roman" w:hAnsi="Times New Roman"/>
          <w:sz w:val="28"/>
          <w:szCs w:val="28"/>
        </w:rPr>
        <w:t>Баллон с газом объемом не более 5 литров, подключенный к газовой плите заводского изготовления, в жилом помещении должен устанавливаться на расстоянии не менее 1 метра от отопительных приборов, не менее 5 метров – до открытого источника огня. Газовые баллоны большой емкости должны храниться в специальных вентилируемых запирающихся шкафах с внешней стороны дома, также хранение баллонов с внешней стороны дома предусмотрено в случае невозможности установки их в одном помещении с газовой плитой. Указанные шкафы должны иметь предупредительную надпись: «Огнеопасно. Газ».</w:t>
      </w:r>
    </w:p>
    <w:p>
      <w:pPr>
        <w:pStyle w:val="Style32"/>
        <w:numPr>
          <w:ilvl w:val="0"/>
          <w:numId w:val="12"/>
        </w:numPr>
        <w:tabs>
          <w:tab w:val="clear" w:pos="708"/>
          <w:tab w:val="left" w:pos="1276" w:leader="none"/>
        </w:tabs>
        <w:spacing w:lineRule="auto" w:line="288" w:before="0" w:after="0"/>
        <w:ind w:left="0" w:firstLine="709"/>
        <w:contextualSpacing/>
        <w:jc w:val="both"/>
        <w:rPr/>
      </w:pPr>
      <w:r>
        <w:rPr>
          <w:rFonts w:cs="Times New Roman" w:ascii="Times New Roman" w:hAnsi="Times New Roman"/>
          <w:sz w:val="28"/>
          <w:szCs w:val="28"/>
        </w:rPr>
        <w:t>Установка и хранение баллонов обязательно производится</w:t>
        <w:br/>
        <w:t xml:space="preserve">в вертикальном положении. </w:t>
      </w:r>
    </w:p>
    <w:p>
      <w:pPr>
        <w:pStyle w:val="Style32"/>
        <w:numPr>
          <w:ilvl w:val="0"/>
          <w:numId w:val="12"/>
        </w:numPr>
        <w:tabs>
          <w:tab w:val="clear" w:pos="708"/>
          <w:tab w:val="left" w:pos="1276" w:leader="none"/>
        </w:tabs>
        <w:spacing w:lineRule="auto" w:line="288"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Во время замены газовых баллонов запрещается пользоваться открытым огнем, курить, включать и выключать электроприборы.</w:t>
      </w:r>
    </w:p>
    <w:p>
      <w:pPr>
        <w:pStyle w:val="Style32"/>
        <w:numPr>
          <w:ilvl w:val="0"/>
          <w:numId w:val="12"/>
        </w:numPr>
        <w:tabs>
          <w:tab w:val="clear" w:pos="708"/>
          <w:tab w:val="left" w:pos="1276" w:leader="none"/>
        </w:tabs>
        <w:spacing w:lineRule="auto" w:line="288" w:before="0" w:after="0"/>
        <w:ind w:left="0" w:firstLine="709"/>
        <w:contextualSpacing/>
        <w:jc w:val="both"/>
        <w:rPr/>
      </w:pPr>
      <w:r>
        <w:rPr>
          <w:rFonts w:cs="Times New Roman" w:ascii="Times New Roman" w:hAnsi="Times New Roman"/>
          <w:sz w:val="28"/>
          <w:szCs w:val="28"/>
        </w:rPr>
        <w:t>Запрещается устанавливать неисправные баллоны, а также использовать газовые баллоны с повреждениями корпуса, следами ржавчины, и неисправными вентилями.</w:t>
      </w:r>
    </w:p>
    <w:p>
      <w:pPr>
        <w:pStyle w:val="Style32"/>
        <w:numPr>
          <w:ilvl w:val="0"/>
          <w:numId w:val="12"/>
        </w:numPr>
        <w:tabs>
          <w:tab w:val="clear" w:pos="708"/>
          <w:tab w:val="left" w:pos="1276" w:leader="none"/>
        </w:tabs>
        <w:spacing w:lineRule="auto" w:line="288" w:before="0" w:after="0"/>
        <w:ind w:left="0" w:firstLine="709"/>
        <w:contextualSpacing/>
        <w:jc w:val="both"/>
        <w:rPr/>
      </w:pPr>
      <w:r>
        <w:rPr>
          <w:rFonts w:cs="Times New Roman" w:ascii="Times New Roman" w:hAnsi="Times New Roman"/>
          <w:sz w:val="28"/>
          <w:szCs w:val="28"/>
        </w:rPr>
        <w:t>Проводить освидетельствование газовых баллонов необходимо</w:t>
        <w:br/>
        <w:t xml:space="preserve">раз в пять лет. </w:t>
      </w:r>
    </w:p>
    <w:p>
      <w:pPr>
        <w:pStyle w:val="Style32"/>
        <w:numPr>
          <w:ilvl w:val="0"/>
          <w:numId w:val="12"/>
        </w:numPr>
        <w:tabs>
          <w:tab w:val="clear" w:pos="708"/>
          <w:tab w:val="left" w:pos="1276" w:leader="none"/>
        </w:tabs>
        <w:spacing w:lineRule="auto" w:line="288"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Не допускаются резкие перепады температуры при замерзании газового баллона, также запрещено отогревать газовые баллоны с помощью открытого огня. </w:t>
      </w:r>
    </w:p>
    <w:p>
      <w:pPr>
        <w:pStyle w:val="Style32"/>
        <w:tabs>
          <w:tab w:val="clear" w:pos="708"/>
          <w:tab w:val="left" w:pos="1276" w:leader="none"/>
        </w:tabs>
        <w:spacing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3. Правила эксплуатации печного оборудования (каминного отопления)</w:t>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в жилых домах</w:t>
      </w:r>
    </w:p>
    <w:p>
      <w:pPr>
        <w:pStyle w:val="Normal"/>
        <w:spacing w:lineRule="auto" w:line="252"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При эксплуатации печного оборудования должны выполняться следующие требования пожарной безопасности:</w:t>
      </w:r>
    </w:p>
    <w:p>
      <w:pPr>
        <w:pStyle w:val="Style32"/>
        <w:numPr>
          <w:ilvl w:val="0"/>
          <w:numId w:val="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Печи, дымовые трубы и стены, в которых проходят дымовые каналы на чердаках, должны быть оштукатурены и побелены.</w:t>
      </w:r>
    </w:p>
    <w:p>
      <w:pPr>
        <w:pStyle w:val="Style32"/>
        <w:numPr>
          <w:ilvl w:val="0"/>
          <w:numId w:val="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Дымовые трубы должны быть снабжены исправными искроуловителями (металлическими сетками с размерами ячейки</w:t>
        <w:br/>
        <w:t>не более 5х5 мм).</w:t>
      </w:r>
    </w:p>
    <w:p>
      <w:pPr>
        <w:pStyle w:val="Style32"/>
        <w:numPr>
          <w:ilvl w:val="0"/>
          <w:numId w:val="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Перед началом отопительного сезона дымоходы печей должны быть очищены от сажи.</w:t>
      </w:r>
    </w:p>
    <w:p>
      <w:pPr>
        <w:pStyle w:val="Style32"/>
        <w:numPr>
          <w:ilvl w:val="0"/>
          <w:numId w:val="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Зола, шлак, уголь должны удаляться в специально отведенные</w:t>
        <w:br/>
        <w:t>для этого места. Не разрешается устройство таких мест сбора ближе 15 метров от сгораемых строений.</w:t>
      </w:r>
    </w:p>
    <w:p>
      <w:pPr>
        <w:pStyle w:val="Style32"/>
        <w:numPr>
          <w:ilvl w:val="0"/>
          <w:numId w:val="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Чистка дымоходов и печей от сажи должна производиться</w:t>
        <w:br/>
        <w:t>перед началом, а также в течение всего отопительного сезона не реже одного раза в три месяца.</w:t>
      </w:r>
    </w:p>
    <w:p>
      <w:pPr>
        <w:pStyle w:val="Style32"/>
        <w:numPr>
          <w:ilvl w:val="0"/>
          <w:numId w:val="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Не допускается поручать надзор за топящимися печами детям.</w:t>
      </w:r>
    </w:p>
    <w:p>
      <w:pPr>
        <w:pStyle w:val="Style32"/>
        <w:numPr>
          <w:ilvl w:val="0"/>
          <w:numId w:val="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Не допускается перекаливать печи, следует осуществлять их топку</w:t>
        <w:br/>
        <w:t>2-3 раза в день не более 1-1,5 часов;</w:t>
      </w:r>
    </w:p>
    <w:p>
      <w:pPr>
        <w:pStyle w:val="Style32"/>
        <w:numPr>
          <w:ilvl w:val="0"/>
          <w:numId w:val="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Удалять золу, шлак, уголь из печи необходимо в несгораемую емкость (например, металлическое ведро) с целью дальнейшей утилизации золы, шлака, угля.</w:t>
      </w:r>
    </w:p>
    <w:p>
      <w:pPr>
        <w:pStyle w:val="Normal"/>
        <w:spacing w:lineRule="auto" w:line="252"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При эксплуатации печного оборудования запрещается:</w:t>
      </w:r>
    </w:p>
    <w:p>
      <w:pPr>
        <w:pStyle w:val="Style32"/>
        <w:numPr>
          <w:ilvl w:val="0"/>
          <w:numId w:val="15"/>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Эксплуатировать печи и другие отопительные приборы</w:t>
        <w:br/>
        <w:t>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х 0,7 метра, а также при наличии прогаров и повреждений в разделках, наружных поверхностях печи, дымовых трубах, дымовых каналах</w:t>
        <w:br/>
        <w:t>и предтопочных листах.</w:t>
      </w:r>
    </w:p>
    <w:p>
      <w:pPr>
        <w:pStyle w:val="Style32"/>
        <w:numPr>
          <w:ilvl w:val="0"/>
          <w:numId w:val="15"/>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Оставлять без присмотра печи, которые топятся, а также поручать надзор за ними детям. </w:t>
      </w:r>
    </w:p>
    <w:p>
      <w:pPr>
        <w:pStyle w:val="Style32"/>
        <w:numPr>
          <w:ilvl w:val="0"/>
          <w:numId w:val="15"/>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Располагать топливо и другие горючие материалы на предтопочном листе. </w:t>
      </w:r>
    </w:p>
    <w:p>
      <w:pPr>
        <w:pStyle w:val="Style32"/>
        <w:numPr>
          <w:ilvl w:val="0"/>
          <w:numId w:val="15"/>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Применять для розжига печей бензин, керосин, дизельное топливо</w:t>
        <w:br/>
        <w:t>и другие ЛВЖ.</w:t>
      </w:r>
    </w:p>
    <w:p>
      <w:pPr>
        <w:pStyle w:val="Style32"/>
        <w:numPr>
          <w:ilvl w:val="0"/>
          <w:numId w:val="15"/>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Топить углем, коксом и газом печи, не предназначенные для этих видов топлива. </w:t>
      </w:r>
    </w:p>
    <w:p>
      <w:pPr>
        <w:pStyle w:val="Style32"/>
        <w:numPr>
          <w:ilvl w:val="0"/>
          <w:numId w:val="15"/>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вентиляционные и газовые каналы в качестве дымоходов.</w:t>
      </w:r>
    </w:p>
    <w:p>
      <w:pPr>
        <w:pStyle w:val="Style32"/>
        <w:numPr>
          <w:ilvl w:val="0"/>
          <w:numId w:val="15"/>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Устанавливать металлические печи, не отвечающие требованиям пожарной безопасности, стандартам и техническим условиям. При установке временных металлических и других печей заводского изготовления должны выполняться указания (инструкции) предприятий-изготовителей, а также требования норм проектирования, предъявляемые к системам отопления;</w:t>
      </w:r>
    </w:p>
    <w:p>
      <w:pPr>
        <w:pStyle w:val="Style32"/>
        <w:numPr>
          <w:ilvl w:val="0"/>
          <w:numId w:val="15"/>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Сушить горючие материалы на котлах, паропроводах и других теплогенерирующих установках.</w:t>
      </w:r>
    </w:p>
    <w:p>
      <w:pPr>
        <w:pStyle w:val="Style32"/>
        <w:numPr>
          <w:ilvl w:val="0"/>
          <w:numId w:val="15"/>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Перекрывать дымоход до полного выгорания топлива.</w:t>
      </w:r>
    </w:p>
    <w:p>
      <w:pPr>
        <w:pStyle w:val="Normal"/>
        <w:tabs>
          <w:tab w:val="clear" w:pos="708"/>
          <w:tab w:val="left" w:pos="1276"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Запрещено эксплуатировать печи при следующих неисправностях:</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1.</w:t>
        <w:tab/>
        <w:t>Неравномерный нагрев поверхностей.</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w:t>
        <w:tab/>
        <w:t>Трещины в печах и трубах.</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w:t>
        <w:tab/>
        <w:t>Щели вокруг разделки и выпадение из нее кирпичей.</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w:t>
        <w:tab/>
        <w:t>Плохая тяга.</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w:t>
        <w:tab/>
        <w:t>Перегревание и разрушение топливной камеры и дымоходов.</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Повреждение топочной арматуры и ослабление ее в кладке.</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7.</w:t>
        <w:tab/>
        <w:t>Разрушение боровов и оголовков труб.</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8.</w:t>
        <w:tab/>
        <w:t>Обледенение оголовков дымовых газовых труб.</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9.</w:t>
        <w:tab/>
        <w:t>При неисправном фиксаторе дверки топливника отопительной печи.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4. Меры пожарной безопасности при использовании бытовой химии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Пожарную опасность представляют следующие предметы бытовой химии:</w:t>
      </w:r>
    </w:p>
    <w:p>
      <w:pPr>
        <w:pStyle w:val="Normal"/>
        <w:spacing w:lineRule="auto" w:line="240" w:before="0" w:after="0"/>
        <w:ind w:firstLine="709"/>
        <w:jc w:val="both"/>
        <w:rPr/>
      </w:pPr>
      <w:r>
        <w:rPr>
          <w:rFonts w:cs="Times New Roman" w:ascii="Times New Roman" w:hAnsi="Times New Roman"/>
          <w:sz w:val="28"/>
          <w:szCs w:val="28"/>
        </w:rPr>
        <w:t>1.</w:t>
        <w:tab/>
        <w:t>Бытовая химия в аэрозольной упаковке, а также бытовая химия</w:t>
        <w:br/>
        <w:t>с пропеллентами. Например, ароматизирующие и дезодорирующие средства, средства для подкрахмаливания, средства для антистатической обработки тканей, средства для очистки и полировки, средства по уходу за автомобилями, средства для уничтожения запахов и другие.</w:t>
      </w:r>
    </w:p>
    <w:p>
      <w:pPr>
        <w:pStyle w:val="Normal"/>
        <w:spacing w:lineRule="auto" w:line="240" w:before="0" w:after="0"/>
        <w:ind w:firstLine="709"/>
        <w:jc w:val="both"/>
        <w:rPr/>
      </w:pPr>
      <w:r>
        <w:rPr>
          <w:rFonts w:cs="Times New Roman" w:ascii="Times New Roman" w:hAnsi="Times New Roman"/>
          <w:sz w:val="28"/>
          <w:szCs w:val="28"/>
        </w:rPr>
        <w:t>2.</w:t>
        <w:tab/>
        <w:t>Декоративные лаки для ногтей, приготовленные на основе быстро испаряющихся ЛВЖ (изготовленных на основе ацетона и других веществ, имеющих низкую температуру воспламенения), а также жидкости для снятия лака, лосьоны на спиртовой основе.</w:t>
      </w:r>
    </w:p>
    <w:p>
      <w:pPr>
        <w:pStyle w:val="Normal"/>
        <w:spacing w:lineRule="auto" w:line="240" w:before="0" w:after="0"/>
        <w:ind w:firstLine="709"/>
        <w:jc w:val="both"/>
        <w:rPr/>
      </w:pPr>
      <w:r>
        <w:rPr>
          <w:rFonts w:cs="Times New Roman" w:ascii="Times New Roman" w:hAnsi="Times New Roman"/>
          <w:sz w:val="28"/>
          <w:szCs w:val="28"/>
        </w:rPr>
        <w:t>3.</w:t>
        <w:tab/>
        <w:t>Агрохимикаты: твердые и жидкие пестициды, химические консерванты кормов, жидкие аммиаки, используемые в качестве удобрения и химического реагента, а также селитровые удобрения. Контакт указанных веществ друг с другом и с горючими веществами (древесиной, углем, бумагой, соломой, торфом, навозом, мешкотарой) при наличии подходящих условий</w:t>
        <w:br/>
        <w:t>для возгорания может привести к пожару, даже при незначительном нагреве.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Меры пожарной безопасности при использовании, хранении и утилизации средств бытовой химии:</w:t>
      </w:r>
    </w:p>
    <w:p>
      <w:pPr>
        <w:pStyle w:val="Style32"/>
        <w:numPr>
          <w:ilvl w:val="0"/>
          <w:numId w:val="14"/>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Храните средства бытовой химии в закрывающихся шкафчиках, в прохладном месте, вдали от нагревательных приборов, беречь</w:t>
        <w:br/>
        <w:t xml:space="preserve">от нагрева солнечными лучами. </w:t>
      </w:r>
    </w:p>
    <w:p>
      <w:pPr>
        <w:pStyle w:val="Style32"/>
        <w:numPr>
          <w:ilvl w:val="0"/>
          <w:numId w:val="14"/>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Положение при хранении предметов бытовой химии – вертикальное, также их следует беречь от падений.</w:t>
      </w:r>
    </w:p>
    <w:p>
      <w:pPr>
        <w:pStyle w:val="Style32"/>
        <w:numPr>
          <w:ilvl w:val="0"/>
          <w:numId w:val="14"/>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При использовании опасно разогревать, лаки, краски, мастики и аэрозольные баллончики, это может привести к их взрыву, при этом угрозу представляют даже опорожненные аэрозольные емкости.</w:t>
      </w:r>
    </w:p>
    <w:p>
      <w:pPr>
        <w:pStyle w:val="Style32"/>
        <w:numPr>
          <w:ilvl w:val="0"/>
          <w:numId w:val="14"/>
        </w:numPr>
        <w:spacing w:lineRule="auto" w:line="240"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Запрещено распылять и располагать аэрозольные средства</w:t>
        <w:br/>
        <w:t xml:space="preserve">у открытого огня. </w:t>
      </w:r>
    </w:p>
    <w:p>
      <w:pPr>
        <w:pStyle w:val="Normal"/>
        <w:spacing w:lineRule="auto" w:line="240" w:before="0" w:after="0"/>
        <w:ind w:firstLine="709"/>
        <w:jc w:val="both"/>
        <w:rPr/>
      </w:pPr>
      <w:r>
        <w:rPr>
          <w:rFonts w:cs="Times New Roman" w:ascii="Times New Roman" w:hAnsi="Times New Roman"/>
          <w:sz w:val="28"/>
          <w:szCs w:val="28"/>
        </w:rPr>
        <w:t>5.</w:t>
        <w:tab/>
        <w:t>При утилизации предметов бытовой химии, в том числе использованных, необходимо обеспечить их недоступность детям</w:t>
        <w:br/>
        <w:t>и утилизировать согласно производственной инструкции, в целях недопущения возникновения пожара.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5. Правила пожарной безопасности при проведении ремонтных и строительно-монтажных работ</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Style32"/>
        <w:numPr>
          <w:ilvl w:val="0"/>
          <w:numId w:val="6"/>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Негашеную известь необходимо хранить в закрытых отдельно стоящих складских помещениях. </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Наносите горючие покрытия на пол при естественном освещении. Работы необходимо начинать с мест, наиболее удаленных</w:t>
        <w:br/>
        <w:t>от выходов из помещений, а в коридорах и других участках путей эвакуации – после завершения работ в помещениях.</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Промывайте инструмент и оборудование, применяемое</w:t>
        <w:br/>
        <w:t>при производстве работ с горючими веществами, на открытой площадке</w:t>
        <w:br/>
        <w:t>или в помещении, имеющем вытяжную вентиляцию.</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Помещения и рабочие зоны, в которых применяются горючие вещества, выделяющие пожаровзрывоопасные пары, обеспечивайте естественной или принудительной приточно-вытяжной вентиляцией.</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В помещениях, где будут производиться работы с веществами</w:t>
        <w:br/>
        <w:t xml:space="preserve">на легковоспламеняющихся растворителях, должны быть первичные средства пожаротушения (огнетушители, ведра с водой, кошма или шерстяное одеяло). </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При работе с легковоспламеняющимися и горючими веществами необходимо использовать инструмент, не высекающий искр при ударе</w:t>
        <w:br/>
        <w:t>(медь, алюминий, бронза).</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При использовании лакокрасочных изделий, органических растворителей или склеивающих веществ, следует строго выполнять рекомендации по пожарной безопасности, изложенные в инструкции к ним.</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Пролитые на пол краски и лаки удаляют песком, опилками</w:t>
        <w:br/>
        <w:t>или ветошью, которые немедленно убирают из помещения.</w:t>
      </w:r>
    </w:p>
    <w:p>
      <w:pPr>
        <w:pStyle w:val="Style32"/>
        <w:numPr>
          <w:ilvl w:val="0"/>
          <w:numId w:val="6"/>
        </w:numPr>
        <w:spacing w:lineRule="auto" w:line="240" w:before="0" w:after="0"/>
        <w:ind w:left="0" w:firstLine="709"/>
        <w:contextualSpacing/>
        <w:jc w:val="both"/>
        <w:rPr/>
      </w:pPr>
      <w:r>
        <w:rPr>
          <w:rFonts w:cs="Times New Roman" w:ascii="Times New Roman" w:hAnsi="Times New Roman"/>
          <w:sz w:val="28"/>
          <w:szCs w:val="28"/>
        </w:rPr>
        <w:t>Перед настилом полов, зашивки перегородок и стен, пространство</w:t>
        <w:br/>
        <w:t>в перекрытиях, пустоты в перегородках необходимо очистить от горючего мусора (стружек, щепы, опилок и т.п.). Наличие горючего материала</w:t>
        <w:br/>
        <w:t>в случае пожара будет способствовать распространению огня по пустотам конструкций здания.</w:t>
      </w:r>
    </w:p>
    <w:p>
      <w:pPr>
        <w:pStyle w:val="Style32"/>
        <w:numPr>
          <w:ilvl w:val="0"/>
          <w:numId w:val="6"/>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Проверяйте перед началом работ исправность арматуры</w:t>
        <w:br/>
        <w:t>бензо- и керосинореза, плотность соединений шлангов на ниппелях, исправность резьбы в накидных гайках и головках.</w:t>
      </w:r>
    </w:p>
    <w:p>
      <w:pPr>
        <w:pStyle w:val="Normal"/>
        <w:spacing w:lineRule="auto" w:line="252" w:before="0" w:after="0"/>
        <w:jc w:val="center"/>
        <w:rPr/>
      </w:pPr>
      <w:r>
        <w:rPr>
          <w:rFonts w:cs="Times New Roman" w:ascii="Times New Roman" w:hAnsi="Times New Roman"/>
          <w:b/>
          <w:sz w:val="28"/>
          <w:szCs w:val="28"/>
        </w:rPr>
        <w:t>Категорически запрещается при проведении ремонтных</w:t>
        <w:br/>
        <w:t>и строительно-монтажных работ:</w:t>
      </w:r>
    </w:p>
    <w:p>
      <w:pPr>
        <w:pStyle w:val="Style32"/>
        <w:numPr>
          <w:ilvl w:val="0"/>
          <w:numId w:val="1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Хранить и применять на чердаках, в подвальных, цокольных</w:t>
        <w:br/>
        <w:t>и подземных этажах, а также под свайным пространством зданий ЛВЖ и ГЖ, баллоны с горючими газами, отходы любых классов опасности и другие пожаровзрывоопасные вещества и материалы.</w:t>
      </w:r>
    </w:p>
    <w:p>
      <w:pPr>
        <w:pStyle w:val="Style32"/>
        <w:numPr>
          <w:ilvl w:val="0"/>
          <w:numId w:val="1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Хранить и переносить горючие вещества в открытой таре.</w:t>
      </w:r>
    </w:p>
    <w:p>
      <w:pPr>
        <w:pStyle w:val="Style32"/>
        <w:numPr>
          <w:ilvl w:val="0"/>
          <w:numId w:val="1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открытый огонь в помещениях, где хранятся горючие материалы, любая искра может привести к пожару.</w:t>
      </w:r>
    </w:p>
    <w:p>
      <w:pPr>
        <w:pStyle w:val="Style32"/>
        <w:numPr>
          <w:ilvl w:val="0"/>
          <w:numId w:val="1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Сливать ЛВЖ и ГЖ в канализационные сети (в том числе при авариях).</w:t>
      </w:r>
    </w:p>
    <w:p>
      <w:pPr>
        <w:pStyle w:val="Style32"/>
        <w:numPr>
          <w:ilvl w:val="0"/>
          <w:numId w:val="1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Применять для стирки рабочей одежды, чистки ковров</w:t>
        <w:br/>
        <w:t xml:space="preserve">и т.п. ЛВЖ и ГЖ. </w:t>
      </w:r>
    </w:p>
    <w:p>
      <w:pPr>
        <w:pStyle w:val="Style32"/>
        <w:numPr>
          <w:ilvl w:val="0"/>
          <w:numId w:val="1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Выжигать старую краску, обои и другие декоративные покрытия паяльной лампой.</w:t>
      </w:r>
    </w:p>
    <w:p>
      <w:pPr>
        <w:pStyle w:val="Style32"/>
        <w:numPr>
          <w:ilvl w:val="0"/>
          <w:numId w:val="18"/>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открытым огнем при разогреве различных видов мастик, канифоли, воска, олифы. Это может привести к их воспламенению.</w:t>
      </w:r>
    </w:p>
    <w:p>
      <w:pPr>
        <w:pStyle w:val="Style32"/>
        <w:numPr>
          <w:ilvl w:val="0"/>
          <w:numId w:val="1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Заполнять емкость с разогреваемым веществом более чем на 75% объема, доводить температуру нагрева растворителя до температуры вспышки, добавлять растворитель в емкость, находящуюся на водяной бане.</w:t>
      </w:r>
    </w:p>
    <w:p>
      <w:pPr>
        <w:pStyle w:val="Style32"/>
        <w:numPr>
          <w:ilvl w:val="0"/>
          <w:numId w:val="1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Использовать кислородные шланги для подвода бензина</w:t>
        <w:br/>
        <w:t>или керосина к резаку.</w:t>
      </w:r>
    </w:p>
    <w:p>
      <w:pPr>
        <w:pStyle w:val="Style32"/>
        <w:numPr>
          <w:ilvl w:val="0"/>
          <w:numId w:val="18"/>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Применять при работе паяльной лампы в качестве горючего</w:t>
        <w:br/>
        <w:t>для ламп, работающих на керосине, бензин или смеси бензина с керосином,</w:t>
        <w:br/>
        <w:t>а также заполнять лампу горючим более чем на три четверти объема</w:t>
        <w:br/>
        <w:t>ее резервуара.</w:t>
      </w:r>
    </w:p>
    <w:p>
      <w:pPr>
        <w:pStyle w:val="Style32"/>
        <w:numPr>
          <w:ilvl w:val="0"/>
          <w:numId w:val="6"/>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строительно-монтажных и реставрационных работ, а также при включении электроподогрева автотранспорта.</w:t>
      </w:r>
    </w:p>
    <w:p>
      <w:pPr>
        <w:pStyle w:val="Style32"/>
        <w:spacing w:lineRule="auto" w:line="252"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Правила безопасности при проведении огневых работ:</w:t>
      </w:r>
    </w:p>
    <w:p>
      <w:pPr>
        <w:pStyle w:val="Style32"/>
        <w:numPr>
          <w:ilvl w:val="0"/>
          <w:numId w:val="20"/>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Перед проведением огневых работ необходимо провентилировать помещения, в которых возможно скопление паров ЛВЖ и ГЖ, а также горючих газов.</w:t>
      </w:r>
    </w:p>
    <w:p>
      <w:pPr>
        <w:pStyle w:val="Style32"/>
        <w:numPr>
          <w:ilvl w:val="0"/>
          <w:numId w:val="20"/>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Плотно закрывать двери помещений, в которых проводятся огневые работы, соединяющие их с другими помещениями.</w:t>
      </w:r>
    </w:p>
    <w:p>
      <w:pPr>
        <w:pStyle w:val="Style32"/>
        <w:numPr>
          <w:ilvl w:val="0"/>
          <w:numId w:val="20"/>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Прекратить огневые работы в случае повышения содержания горючих веществ в воздухе.</w:t>
      </w:r>
    </w:p>
    <w:p>
      <w:pPr>
        <w:pStyle w:val="Style32"/>
        <w:numPr>
          <w:ilvl w:val="0"/>
          <w:numId w:val="20"/>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Проводить огневые работы в непосредственной близости от горючих материалов и ГЖ.</w:t>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При проведении огневых работ запрещается:</w:t>
      </w:r>
    </w:p>
    <w:p>
      <w:pPr>
        <w:pStyle w:val="Style32"/>
        <w:numPr>
          <w:ilvl w:val="0"/>
          <w:numId w:val="2"/>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Приступать к работе при неисправностях оборудования.</w:t>
      </w:r>
    </w:p>
    <w:p>
      <w:pPr>
        <w:pStyle w:val="Style32"/>
        <w:numPr>
          <w:ilvl w:val="0"/>
          <w:numId w:val="2"/>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Проводить огневые работы на свежеокрашенных горючими красками (лаками) конструкциях и изделиях.</w:t>
      </w:r>
    </w:p>
    <w:p>
      <w:pPr>
        <w:pStyle w:val="Style32"/>
        <w:numPr>
          <w:ilvl w:val="0"/>
          <w:numId w:val="2"/>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Использовать одежду и рукавицы со следами масел, жиров, бензина, керосина и других ГЖ.</w:t>
      </w:r>
    </w:p>
    <w:p>
      <w:pPr>
        <w:pStyle w:val="Style32"/>
        <w:numPr>
          <w:ilvl w:val="0"/>
          <w:numId w:val="2"/>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Допускать соприкосновение электрических проводов с баллонами</w:t>
        <w:br/>
        <w:t>со сжатыми, сжиженными и растворенными газами.</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Правила пожарной безопасности при проведении сварочных работ:</w:t>
      </w:r>
    </w:p>
    <w:p>
      <w:pPr>
        <w:pStyle w:val="Style32"/>
        <w:numPr>
          <w:ilvl w:val="0"/>
          <w:numId w:val="13"/>
        </w:numPr>
        <w:tabs>
          <w:tab w:val="clear" w:pos="708"/>
          <w:tab w:val="left" w:pos="1276" w:leader="none"/>
        </w:tabs>
        <w:spacing w:lineRule="auto" w:line="252"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Сварочные работы должны быть закончены до начала окрасочных работ.</w:t>
      </w:r>
    </w:p>
    <w:p>
      <w:pPr>
        <w:pStyle w:val="Style32"/>
        <w:numPr>
          <w:ilvl w:val="0"/>
          <w:numId w:val="13"/>
        </w:numPr>
        <w:tabs>
          <w:tab w:val="clear" w:pos="708"/>
          <w:tab w:val="left" w:pos="1276" w:leader="none"/>
        </w:tabs>
        <w:spacing w:lineRule="auto" w:line="252"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К выполнению сварки допускаются лица, прошедшие обучение, инструктаж и проверку знаний требований пожарной безопасности, имеющие квалификационную группу по электробезопасности не ниже II</w:t>
        <w:br/>
        <w:t>и соответствующие удостоверения.</w:t>
      </w:r>
    </w:p>
    <w:p>
      <w:pPr>
        <w:pStyle w:val="Style32"/>
        <w:numPr>
          <w:ilvl w:val="0"/>
          <w:numId w:val="13"/>
        </w:numPr>
        <w:tabs>
          <w:tab w:val="clear" w:pos="708"/>
          <w:tab w:val="left" w:pos="1276" w:leader="none"/>
        </w:tabs>
        <w:spacing w:lineRule="auto" w:line="252"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При производстве электрогазосварочных работ максимум сварок проводят вне помещения. В помещениях возможно проведение сварочных работ, которые необходимы при сборке в целое трубопроводной сети.</w:t>
        <w:br/>
        <w:t>Кислородный баллон размещают от места сварки на расстояние не ближе</w:t>
        <w:br/>
        <w:t>10 метров, место работ очищают от горючих материалов в радиусе</w:t>
        <w:br/>
        <w:t>не менее 5 метров.</w:t>
      </w:r>
    </w:p>
    <w:p>
      <w:pPr>
        <w:pStyle w:val="Style32"/>
        <w:numPr>
          <w:ilvl w:val="0"/>
          <w:numId w:val="13"/>
        </w:numPr>
        <w:tabs>
          <w:tab w:val="clear" w:pos="708"/>
          <w:tab w:val="left" w:pos="1276" w:leader="none"/>
        </w:tabs>
        <w:spacing w:lineRule="auto" w:line="252"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Для защиты сгораемых конструкций и материалов от действия тепла и искр устанавливают защитные экраны из негорючих материалов (металлических или асбошиферных листов). Пол на месте сварки тщательно очищают от горючего мусора и смачивают водой.</w:t>
      </w:r>
    </w:p>
    <w:p>
      <w:pPr>
        <w:pStyle w:val="Style32"/>
        <w:numPr>
          <w:ilvl w:val="0"/>
          <w:numId w:val="13"/>
        </w:numPr>
        <w:tabs>
          <w:tab w:val="clear" w:pos="708"/>
          <w:tab w:val="left" w:pos="1276" w:leader="none"/>
        </w:tabs>
        <w:spacing w:lineRule="auto" w:line="252"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Место сварочных работ обеспечивают первичными средствами пожаротушения (огнетушители, ведра с водой, ящик с песком, совковой лопатой и кошмой).</w:t>
      </w:r>
    </w:p>
    <w:p>
      <w:pPr>
        <w:pStyle w:val="Style32"/>
        <w:numPr>
          <w:ilvl w:val="0"/>
          <w:numId w:val="13"/>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Необходимо применять электроды, изготовленные в заводских условиях, соответствующие номинальной величине сварочного тока.</w:t>
        <w:br/>
        <w:t>При смене электродов их остатки (огарки) следует помещать в металлическую емкость, устанавливаемую у места сварочных работ.</w:t>
      </w:r>
    </w:p>
    <w:p>
      <w:pPr>
        <w:pStyle w:val="Style32"/>
        <w:numPr>
          <w:ilvl w:val="0"/>
          <w:numId w:val="13"/>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Запрещается использовать провода без изоляции или с поврежденной изоляцией, а также применять нестандартные автоматические выключатели.</w:t>
      </w:r>
    </w:p>
    <w:p>
      <w:pPr>
        <w:pStyle w:val="Style32"/>
        <w:numPr>
          <w:ilvl w:val="0"/>
          <w:numId w:val="13"/>
        </w:numPr>
        <w:tabs>
          <w:tab w:val="clear" w:pos="708"/>
          <w:tab w:val="left" w:pos="1276" w:leader="none"/>
        </w:tabs>
        <w:spacing w:lineRule="auto" w:line="252" w:before="0" w:after="0"/>
        <w:ind w:left="0" w:firstLine="709"/>
        <w:contextualSpacing/>
        <w:jc w:val="both"/>
        <w:rPr>
          <w:rFonts w:ascii="Times New Roman" w:hAnsi="Times New Roman" w:cs="Times New Roman"/>
          <w:i/>
          <w:i/>
          <w:sz w:val="28"/>
          <w:szCs w:val="28"/>
        </w:rPr>
      </w:pPr>
      <w:r>
        <w:rPr>
          <w:rFonts w:cs="Times New Roman" w:ascii="Times New Roman" w:hAnsi="Times New Roman"/>
          <w:sz w:val="28"/>
          <w:szCs w:val="28"/>
        </w:rPr>
        <w:t>После окончания сварочных работ место их проведения и смежные помещения тщательно осматривают, чтобы убедиться в отсутствии очагов загорания или тления горючих материалов и конструкций. Обращают особое внимание на возможность попадания искр в щели и пустоты перекрытий</w:t>
        <w:br/>
        <w:t>и перегородок. Пожары и загорания в местах сварочных работ обнаруживаются через 2-3, а иногда 4 часа после их окончания.</w:t>
      </w:r>
    </w:p>
    <w:p>
      <w:pPr>
        <w:pStyle w:val="Style32"/>
        <w:tabs>
          <w:tab w:val="clear" w:pos="708"/>
          <w:tab w:val="left" w:pos="1276" w:leader="none"/>
        </w:tabs>
        <w:spacing w:lineRule="auto" w:line="252" w:before="0" w:after="0"/>
        <w:ind w:left="709" w:hanging="0"/>
        <w:contextualSpacing/>
        <w:jc w:val="both"/>
        <w:rPr>
          <w:rFonts w:ascii="Times New Roman" w:hAnsi="Times New Roman" w:cs="Times New Roman"/>
          <w:i/>
          <w:i/>
          <w:sz w:val="28"/>
          <w:szCs w:val="28"/>
        </w:rPr>
      </w:pPr>
      <w:r>
        <w:rPr>
          <w:rFonts w:cs="Times New Roman" w:ascii="Times New Roman" w:hAnsi="Times New Roman"/>
          <w:i/>
          <w:sz w:val="28"/>
          <w:szCs w:val="28"/>
        </w:rPr>
      </w:r>
    </w:p>
    <w:p>
      <w:pPr>
        <w:pStyle w:val="41"/>
        <w:keepNext w:val="true"/>
        <w:keepLines/>
        <w:numPr>
          <w:ilvl w:val="0"/>
          <w:numId w:val="2"/>
        </w:numPr>
        <w:shd w:fill="auto" w:val="clear"/>
        <w:spacing w:lineRule="auto" w:line="240"/>
        <w:ind w:left="0" w:hanging="11"/>
        <w:jc w:val="center"/>
        <w:rPr>
          <w:rStyle w:val="4"/>
          <w:b w:val="false"/>
          <w:b w:val="false"/>
          <w:bCs w:val="false"/>
          <w:sz w:val="28"/>
          <w:szCs w:val="28"/>
        </w:rPr>
      </w:pPr>
      <w:bookmarkStart w:id="0" w:name="bookmark0"/>
      <w:r>
        <w:rPr>
          <w:rStyle w:val="4"/>
          <w:b w:val="false"/>
          <w:bCs w:val="false"/>
          <w:sz w:val="28"/>
          <w:szCs w:val="28"/>
        </w:rPr>
        <w:t xml:space="preserve">Требования пожарной безопасности к содержанию подъездов, </w:t>
      </w:r>
    </w:p>
    <w:p>
      <w:pPr>
        <w:pStyle w:val="41"/>
        <w:keepNext w:val="true"/>
        <w:keepLines/>
        <w:shd w:fill="auto" w:val="clear"/>
        <w:spacing w:lineRule="auto" w:line="240"/>
        <w:ind w:hanging="11"/>
        <w:jc w:val="center"/>
        <w:rPr/>
      </w:pPr>
      <w:bookmarkStart w:id="1" w:name="bookmark0"/>
      <w:r>
        <w:rPr>
          <w:rStyle w:val="4"/>
          <w:b w:val="false"/>
          <w:bCs w:val="false"/>
          <w:sz w:val="28"/>
          <w:szCs w:val="28"/>
        </w:rPr>
        <w:t>лестничных клеток, подвалов, чердаков, балконов</w:t>
      </w:r>
      <w:bookmarkEnd w:id="1"/>
    </w:p>
    <w:p>
      <w:pPr>
        <w:pStyle w:val="41"/>
        <w:keepNext w:val="true"/>
        <w:keepLines/>
        <w:shd w:fill="auto" w:val="clear"/>
        <w:spacing w:lineRule="auto" w:line="240"/>
        <w:ind w:firstLine="709"/>
        <w:rPr>
          <w:rStyle w:val="4"/>
          <w:b w:val="false"/>
          <w:b w:val="false"/>
          <w:bCs w:val="false"/>
          <w:sz w:val="28"/>
          <w:szCs w:val="28"/>
        </w:rPr>
      </w:pPr>
      <w:r>
        <w:rPr/>
      </w:r>
    </w:p>
    <w:p>
      <w:pPr>
        <w:pStyle w:val="Style32"/>
        <w:numPr>
          <w:ilvl w:val="0"/>
          <w:numId w:val="3"/>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Подвалы должны быть постоянно закрыты во избежание проникновения туда посторонних лиц и детей. </w:t>
      </w:r>
    </w:p>
    <w:p>
      <w:pPr>
        <w:pStyle w:val="Style32"/>
        <w:numPr>
          <w:ilvl w:val="0"/>
          <w:numId w:val="3"/>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 xml:space="preserve">Запрещается входить в подвалы с открытым огнем (свечами, спичками, факелами и т.п.), пользоваться подвалом для ночлега. </w:t>
      </w:r>
    </w:p>
    <w:p>
      <w:pPr>
        <w:pStyle w:val="Style32"/>
        <w:numPr>
          <w:ilvl w:val="0"/>
          <w:numId w:val="3"/>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В том случае, если подвалы сообщаются с лестничными клетками,</w:t>
        <w:br/>
        <w:t xml:space="preserve">в них запрещается размещать хозяйственные и дровяные сараи. </w:t>
      </w:r>
    </w:p>
    <w:p>
      <w:pPr>
        <w:pStyle w:val="Style32"/>
        <w:numPr>
          <w:ilvl w:val="0"/>
          <w:numId w:val="3"/>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В подвалах запрещается хранить мототехнику, резинотехнические изделия, ГЖ, старую мебель и другие пожароопасные материалы.</w:t>
      </w:r>
    </w:p>
    <w:p>
      <w:pPr>
        <w:pStyle w:val="Style32"/>
        <w:numPr>
          <w:ilvl w:val="0"/>
          <w:numId w:val="3"/>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Двери на путях эвакуации должны открываться свободно</w:t>
        <w:br/>
        <w:t>и по направлению выхода из здания, за исключением дверей, открывание которых не нормируется требованиями нормативных документов по пожарной безопасности.</w:t>
      </w:r>
    </w:p>
    <w:p>
      <w:pPr>
        <w:pStyle w:val="Style32"/>
        <w:numPr>
          <w:ilvl w:val="0"/>
          <w:numId w:val="3"/>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Не допускается устанавливать дополнительные двери на коридоры этажей, если это не предусмотрено проектной документацией. </w:t>
      </w:r>
    </w:p>
    <w:p>
      <w:pPr>
        <w:pStyle w:val="Style32"/>
        <w:numPr>
          <w:ilvl w:val="0"/>
          <w:numId w:val="3"/>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w:t>
      </w:r>
    </w:p>
    <w:p>
      <w:pPr>
        <w:pStyle w:val="Style32"/>
        <w:numPr>
          <w:ilvl w:val="0"/>
          <w:numId w:val="3"/>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Наружные пожарные лестницы и ограждения на крышах (покрытиях) зданий и сооружений должны содержаться в исправном состоянии и не реже одного раза в пять лет подвергаться эксплуатационным испытаниям. </w:t>
      </w:r>
    </w:p>
    <w:p>
      <w:pPr>
        <w:pStyle w:val="Style32"/>
        <w:numPr>
          <w:ilvl w:val="0"/>
          <w:numId w:val="3"/>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Запрещается использование открытого огня на балконах и лоджиях жилых домов.</w:t>
      </w:r>
    </w:p>
    <w:p>
      <w:pPr>
        <w:pStyle w:val="Normal"/>
        <w:tabs>
          <w:tab w:val="clear" w:pos="708"/>
          <w:tab w:val="left" w:pos="1276" w:leader="none"/>
        </w:tabs>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Рекомендуется окна балконов и лоджий держать закрытыми (либо закрытыми москитной сеткой), для исключения попадания на них горящих окурков с верхних этажей. </w:t>
      </w:r>
    </w:p>
    <w:p>
      <w:pPr>
        <w:pStyle w:val="Normal"/>
        <w:tabs>
          <w:tab w:val="clear" w:pos="708"/>
          <w:tab w:val="left" w:pos="1276" w:leader="none"/>
        </w:tabs>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10.</w:t>
        <w:tab/>
        <w:t>Запрещается курить в местах общего пользования (подъездах, коридорах).</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При эксплуатации эвакуационных путей и выходов жилых домов запрещается:</w:t>
      </w:r>
    </w:p>
    <w:p>
      <w:pPr>
        <w:pStyle w:val="Style32"/>
        <w:numPr>
          <w:ilvl w:val="0"/>
          <w:numId w:val="9"/>
        </w:numPr>
        <w:tabs>
          <w:tab w:val="clear" w:pos="708"/>
          <w:tab w:val="left" w:pos="1276" w:leader="none"/>
        </w:tabs>
        <w:spacing w:lineRule="auto" w:line="252" w:before="0" w:after="0"/>
        <w:ind w:left="0" w:firstLine="709"/>
        <w:contextualSpacing/>
        <w:jc w:val="both"/>
        <w:rPr/>
      </w:pPr>
      <w:r>
        <w:rPr>
          <w:rFonts w:cs="Times New Roman" w:ascii="Times New Roman" w:hAnsi="Times New Roman"/>
          <w:sz w:val="28"/>
          <w:szCs w:val="28"/>
        </w:rPr>
        <w:t>Демонтировать эвакуационные лестницы, расположенные</w:t>
        <w:br/>
        <w:t>на лоджиях и балконах, а также закрывать и загораживать люки, ведущие к ним.</w:t>
      </w:r>
    </w:p>
    <w:p>
      <w:pPr>
        <w:pStyle w:val="Style32"/>
        <w:numPr>
          <w:ilvl w:val="0"/>
          <w:numId w:val="9"/>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Размещать и эксплуатировать в лифтовых холлах кладовые и другие подобные помещения, а также хранить горючие материалы.</w:t>
      </w:r>
    </w:p>
    <w:p>
      <w:pPr>
        <w:pStyle w:val="Style32"/>
        <w:numPr>
          <w:ilvl w:val="0"/>
          <w:numId w:val="9"/>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Устанавливать глухие решетки на окнах и приямках у окон подвалов, являющихся аварийными выходами.</w:t>
      </w:r>
    </w:p>
    <w:p>
      <w:pPr>
        <w:pStyle w:val="Style32"/>
        <w:numPr>
          <w:ilvl w:val="0"/>
          <w:numId w:val="9"/>
        </w:numPr>
        <w:tabs>
          <w:tab w:val="clear" w:pos="708"/>
          <w:tab w:val="left" w:pos="1276" w:leader="none"/>
        </w:tabs>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pPr>
        <w:pStyle w:val="Style32"/>
        <w:numPr>
          <w:ilvl w:val="0"/>
          <w:numId w:val="9"/>
        </w:numPr>
        <w:tabs>
          <w:tab w:val="clear" w:pos="708"/>
          <w:tab w:val="left" w:pos="1276" w:leader="none"/>
        </w:tabs>
        <w:spacing w:lineRule="auto" w:line="264"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Проводить изменение объемно-планировочных решений</w:t>
        <w:br/>
        <w:t>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w:t>
      </w:r>
    </w:p>
    <w:p>
      <w:pPr>
        <w:pStyle w:val="Style32"/>
        <w:numPr>
          <w:ilvl w:val="0"/>
          <w:numId w:val="9"/>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Размещать мебель (за исключением сидячих мест для ожидания)</w:t>
        <w:br/>
        <w:t>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поэтажно соединяющие балконы и лоджии, лестницы в приямках, блокировать люки на балконах и лоджиях квартир.</w:t>
      </w:r>
    </w:p>
    <w:p>
      <w:pPr>
        <w:pStyle w:val="Style32"/>
        <w:numPr>
          <w:ilvl w:val="0"/>
          <w:numId w:val="9"/>
        </w:numPr>
        <w:tabs>
          <w:tab w:val="clear" w:pos="708"/>
          <w:tab w:val="left" w:pos="1276" w:leader="none"/>
        </w:tabs>
        <w:spacing w:lineRule="auto" w:line="264"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Хранить под лестничными маршами и на лестничных площадках вещи, мебель, оборудование и другие горючие материалы.</w:t>
      </w:r>
    </w:p>
    <w:p>
      <w:pPr>
        <w:pStyle w:val="Style32"/>
        <w:numPr>
          <w:ilvl w:val="0"/>
          <w:numId w:val="9"/>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Размещать на лестничных клетках, в поэтажных коридорах,</w:t>
        <w:br/>
        <w:t>а также на открытых переходах наружных воздушных зон незадымляемых лестничных клеток внешние блоки кондиционеров.</w:t>
      </w:r>
    </w:p>
    <w:p>
      <w:pPr>
        <w:pStyle w:val="Normal"/>
        <w:spacing w:lineRule="auto" w:line="264"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276" w:leader="none"/>
        </w:tabs>
        <w:spacing w:lineRule="auto" w:line="264" w:before="0" w:after="0"/>
        <w:jc w:val="center"/>
        <w:rPr/>
      </w:pPr>
      <w:r>
        <w:rPr>
          <w:rFonts w:cs="Times New Roman" w:ascii="Times New Roman" w:hAnsi="Times New Roman"/>
          <w:b/>
          <w:sz w:val="28"/>
          <w:szCs w:val="28"/>
        </w:rPr>
        <w:t>7. Требования пожарной безопасности к содержанию хозяйственных построек, территории дворов, гаражей</w:t>
      </w:r>
    </w:p>
    <w:p>
      <w:pPr>
        <w:pStyle w:val="Normal"/>
        <w:tabs>
          <w:tab w:val="clear" w:pos="708"/>
          <w:tab w:val="left" w:pos="1276" w:leader="none"/>
        </w:tabs>
        <w:spacing w:lineRule="auto" w:line="264"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Style32"/>
        <w:numPr>
          <w:ilvl w:val="0"/>
          <w:numId w:val="11"/>
        </w:numPr>
        <w:tabs>
          <w:tab w:val="clear" w:pos="708"/>
          <w:tab w:val="left" w:pos="1276" w:leader="none"/>
        </w:tabs>
        <w:spacing w:lineRule="auto" w:line="264"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Территория между зданиями, прилегающая к жилым домам, должна содержаться в чистоте и систематически очищаться от мусора, тары, опавших листьев, сухой травы и других горючих отходов. </w:t>
      </w:r>
    </w:p>
    <w:p>
      <w:pPr>
        <w:pStyle w:val="Style32"/>
        <w:numPr>
          <w:ilvl w:val="0"/>
          <w:numId w:val="11"/>
        </w:numPr>
        <w:tabs>
          <w:tab w:val="clear" w:pos="708"/>
          <w:tab w:val="left" w:pos="1276" w:leader="none"/>
        </w:tabs>
        <w:spacing w:lineRule="auto" w:line="264"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Не разрешается на территории оставлять тару с ЛВЖ, ГЖ и баллоны с газом, а также разводить костры и выбрасывать незатушенные уголь и золу вблизи строений. </w:t>
      </w:r>
    </w:p>
    <w:p>
      <w:pPr>
        <w:pStyle w:val="Style32"/>
        <w:numPr>
          <w:ilvl w:val="0"/>
          <w:numId w:val="11"/>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Противопожарные разрывы между постройками, должны отвечать требованиям нормативных документов по пожарной безопасности.</w:t>
      </w:r>
    </w:p>
    <w:p>
      <w:pPr>
        <w:pStyle w:val="Style32"/>
        <w:numPr>
          <w:ilvl w:val="0"/>
          <w:numId w:val="11"/>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Дороги, проезды и подъезды к зданиям, сооружениям, наружным пожарным лестницам и водоисточникам,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pPr>
        <w:pStyle w:val="Style32"/>
        <w:numPr>
          <w:ilvl w:val="0"/>
          <w:numId w:val="11"/>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Крыши люков, колодцев, пожарных гидрантов и площадки</w:t>
        <w:br/>
        <w:t xml:space="preserve">для установки пожарных машин у резервуаров с водой должны систематически очищаться от льда и снега. </w:t>
      </w:r>
    </w:p>
    <w:p>
      <w:pPr>
        <w:pStyle w:val="Style32"/>
        <w:numPr>
          <w:ilvl w:val="0"/>
          <w:numId w:val="11"/>
        </w:numPr>
        <w:tabs>
          <w:tab w:val="clear" w:pos="708"/>
          <w:tab w:val="left" w:pos="1276" w:leader="none"/>
        </w:tabs>
        <w:spacing w:lineRule="auto" w:line="264"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 гидрантов и пожарных водоемов (водоисточников) должны быть установлены соответствующие указатели, на которых должны быть четко нанесены цифры, указывающие на расстояние до водоисточника.</w:t>
      </w:r>
    </w:p>
    <w:p>
      <w:pPr>
        <w:pStyle w:val="Style32"/>
        <w:numPr>
          <w:ilvl w:val="0"/>
          <w:numId w:val="11"/>
        </w:numPr>
        <w:tabs>
          <w:tab w:val="clear" w:pos="708"/>
          <w:tab w:val="left" w:pos="1276" w:leader="none"/>
        </w:tabs>
        <w:spacing w:lineRule="auto" w:line="252"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Запрещается стоянка автотранспорта на крышках колодцев пожарных гидрантов.</w:t>
      </w:r>
    </w:p>
    <w:p>
      <w:pPr>
        <w:pStyle w:val="Style32"/>
        <w:tabs>
          <w:tab w:val="clear" w:pos="708"/>
          <w:tab w:val="left" w:pos="1276" w:leader="none"/>
        </w:tabs>
        <w:spacing w:lineRule="auto" w:line="252" w:before="0" w:after="0"/>
        <w:ind w:left="709"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52" w:before="0" w:after="0"/>
        <w:jc w:val="center"/>
        <w:rPr/>
      </w:pPr>
      <w:r>
        <w:rPr>
          <w:rFonts w:cs="Times New Roman" w:ascii="Times New Roman" w:hAnsi="Times New Roman"/>
          <w:b/>
          <w:sz w:val="28"/>
          <w:szCs w:val="28"/>
        </w:rPr>
        <w:t xml:space="preserve">8. Правила пожарной безопасности в жилых домах повышенной этажности </w:t>
      </w:r>
    </w:p>
    <w:p>
      <w:pPr>
        <w:pStyle w:val="Normal"/>
        <w:spacing w:lineRule="auto" w:line="252"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52" w:before="0" w:after="0"/>
        <w:ind w:firstLine="709"/>
        <w:jc w:val="both"/>
        <w:rPr/>
      </w:pPr>
      <w:r>
        <w:rPr>
          <w:rFonts w:cs="Times New Roman" w:ascii="Times New Roman" w:hAnsi="Times New Roman"/>
          <w:sz w:val="28"/>
          <w:szCs w:val="28"/>
        </w:rPr>
        <w:t>К зданиям повышенной этажности относятся дома, высота которых составляет 28 и более метров, такими являются дома, как правило,</w:t>
        <w:br/>
        <w:t>выше 10 этажа. Дома повышенной этажности оборудуются незадымляемыми лестничными клетками, устройствами дымоудаления, противопожарным водопроводом, системами обнаружения и управления эвакуацией людей</w:t>
        <w:br/>
        <w:t xml:space="preserve">при пожаре. </w:t>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52" w:before="0" w:after="0"/>
        <w:jc w:val="center"/>
        <w:rPr>
          <w:rFonts w:ascii="Times New Roman" w:hAnsi="Times New Roman" w:cs="Times New Roman"/>
          <w:b/>
          <w:b/>
          <w:sz w:val="28"/>
          <w:szCs w:val="28"/>
        </w:rPr>
      </w:pPr>
      <w:r>
        <w:rPr>
          <w:rFonts w:cs="Times New Roman" w:ascii="Times New Roman" w:hAnsi="Times New Roman"/>
          <w:b/>
          <w:sz w:val="28"/>
          <w:szCs w:val="28"/>
        </w:rPr>
        <w:t>Назначение систем противопожарной защиты:</w:t>
      </w:r>
    </w:p>
    <w:p>
      <w:pPr>
        <w:pStyle w:val="Normal"/>
        <w:tabs>
          <w:tab w:val="clear" w:pos="708"/>
          <w:tab w:val="left" w:pos="1276" w:leader="none"/>
        </w:tabs>
        <w:spacing w:lineRule="auto" w:line="252" w:before="0" w:after="0"/>
        <w:ind w:firstLine="709"/>
        <w:jc w:val="both"/>
        <w:rPr/>
      </w:pPr>
      <w:r>
        <w:rPr>
          <w:rFonts w:cs="Times New Roman" w:ascii="Times New Roman" w:hAnsi="Times New Roman"/>
          <w:sz w:val="28"/>
          <w:szCs w:val="28"/>
        </w:rPr>
        <w:t>1.</w:t>
        <w:tab/>
        <w:t>Дымовой люк в покрытии над лестничной клеткой или лифтовой шахтой, предназначен для создания естественной тяги и удаления дыма</w:t>
        <w:br/>
        <w:t>из лестничной клетки.</w:t>
      </w:r>
    </w:p>
    <w:p>
      <w:pPr>
        <w:pStyle w:val="Normal"/>
        <w:tabs>
          <w:tab w:val="clear" w:pos="708"/>
          <w:tab w:val="left" w:pos="1276" w:leader="none"/>
        </w:tabs>
        <w:spacing w:lineRule="auto" w:line="252" w:before="0" w:after="0"/>
        <w:ind w:firstLine="709"/>
        <w:jc w:val="both"/>
        <w:rPr/>
      </w:pPr>
      <w:r>
        <w:rPr>
          <w:rFonts w:cs="Times New Roman" w:ascii="Times New Roman" w:hAnsi="Times New Roman"/>
          <w:sz w:val="28"/>
          <w:szCs w:val="28"/>
        </w:rPr>
        <w:t>2.</w:t>
        <w:tab/>
        <w:t>Подпор воздуха в шахты лифтов и лестничные клетки, создаваемый вентиляторами, установленными на чердаках (технических этажах зданий), предназначен для создания избыточного давления в лифтовых шахтах</w:t>
        <w:br/>
        <w:t>и лестничных клетках и обеспечения, таким образом, их незадымляемости.</w:t>
      </w:r>
    </w:p>
    <w:p>
      <w:pPr>
        <w:pStyle w:val="Normal"/>
        <w:tabs>
          <w:tab w:val="clear" w:pos="708"/>
          <w:tab w:val="left" w:pos="1276" w:leader="none"/>
        </w:tabs>
        <w:spacing w:lineRule="auto" w:line="252" w:before="0" w:after="0"/>
        <w:ind w:firstLine="709"/>
        <w:jc w:val="both"/>
        <w:rPr/>
      </w:pPr>
      <w:r>
        <w:rPr>
          <w:rFonts w:cs="Times New Roman" w:ascii="Times New Roman" w:hAnsi="Times New Roman"/>
          <w:sz w:val="28"/>
          <w:szCs w:val="28"/>
        </w:rPr>
        <w:t>3.</w:t>
        <w:tab/>
        <w:t>Система дымоудаления с вентиляторами на чердаках (в технических этажах) зданий и поэтажными дымовыми клапанами на специальных шахтах, предназначена для вытяжки дыма с горящего этажа через этажный клапан</w:t>
        <w:br/>
        <w:t>и шахту и выброса его в атмосферу.</w:t>
      </w:r>
    </w:p>
    <w:p>
      <w:pPr>
        <w:pStyle w:val="Normal"/>
        <w:tabs>
          <w:tab w:val="clear" w:pos="708"/>
          <w:tab w:val="left" w:pos="1276" w:leader="none"/>
        </w:tabs>
        <w:spacing w:lineRule="auto" w:line="252" w:before="0" w:after="0"/>
        <w:ind w:firstLine="709"/>
        <w:jc w:val="both"/>
        <w:rPr/>
      </w:pPr>
      <w:r>
        <w:rPr>
          <w:rFonts w:cs="Times New Roman" w:ascii="Times New Roman" w:hAnsi="Times New Roman"/>
          <w:sz w:val="28"/>
          <w:szCs w:val="28"/>
        </w:rPr>
        <w:t>4.</w:t>
        <w:tab/>
        <w:t>Система автоматической пожарной сигнализации, предназначена для своевременного обнаружения пожара в квартире, оповещения жильцов, передачи сигнала тревоги на диспетчерский пункт жилищной организации</w:t>
        <w:br/>
        <w:t>или в пожарную охрану.</w:t>
      </w:r>
    </w:p>
    <w:p>
      <w:pPr>
        <w:pStyle w:val="Normal"/>
        <w:tabs>
          <w:tab w:val="clear" w:pos="708"/>
          <w:tab w:val="left" w:pos="1276" w:leader="none"/>
        </w:tabs>
        <w:spacing w:lineRule="auto" w:line="252" w:before="0" w:after="0"/>
        <w:ind w:firstLine="709"/>
        <w:jc w:val="both"/>
        <w:rPr/>
      </w:pPr>
      <w:r>
        <w:rPr>
          <w:rFonts w:cs="Times New Roman" w:ascii="Times New Roman" w:hAnsi="Times New Roman"/>
          <w:sz w:val="28"/>
          <w:szCs w:val="28"/>
        </w:rPr>
        <w:t>5.</w:t>
        <w:tab/>
        <w:t>Внутренний противопожарный водопровод с пожарными кранами</w:t>
        <w:br/>
        <w:t>на этажах зданий и насосами-повысителями, установленными в подвале жилого дома предназначен для тушения пожара.</w:t>
      </w:r>
    </w:p>
    <w:p>
      <w:pPr>
        <w:pStyle w:val="Normal"/>
        <w:tabs>
          <w:tab w:val="clear" w:pos="708"/>
          <w:tab w:val="left" w:pos="1276" w:leader="none"/>
        </w:tabs>
        <w:spacing w:lineRule="auto" w:line="252" w:before="0" w:after="0"/>
        <w:ind w:firstLine="709"/>
        <w:jc w:val="both"/>
        <w:rPr/>
      </w:pPr>
      <w:r>
        <w:rPr>
          <w:rFonts w:cs="Times New Roman" w:ascii="Times New Roman" w:hAnsi="Times New Roman"/>
          <w:sz w:val="28"/>
          <w:szCs w:val="28"/>
        </w:rPr>
        <w:t>6.</w:t>
        <w:tab/>
        <w:t>Система управления противопожарными устройствами, предназначена для дистанционного запуска систем дымоудаления, подпора воздуха и пожарных насосов-повысителей при помощи кнопок, размещенных</w:t>
        <w:br/>
        <w:t>в шкафах пожарных кранов на этажах зданий, и автоматического включения систем противодымной защиты, при срабатывании датчиков пожарной сигнализации, остановки лифтового оборудования.</w:t>
      </w:r>
    </w:p>
    <w:p>
      <w:pPr>
        <w:pStyle w:val="Normal"/>
        <w:tabs>
          <w:tab w:val="clear" w:pos="708"/>
          <w:tab w:val="left" w:pos="1276" w:leader="none"/>
        </w:tabs>
        <w:spacing w:lineRule="auto" w:line="252" w:before="0" w:after="0"/>
        <w:ind w:firstLine="709"/>
        <w:jc w:val="both"/>
        <w:rPr/>
      </w:pPr>
      <w:r>
        <w:rPr>
          <w:rFonts w:cs="Times New Roman" w:ascii="Times New Roman" w:hAnsi="Times New Roman"/>
          <w:sz w:val="28"/>
          <w:szCs w:val="28"/>
        </w:rPr>
        <w:t>7.</w:t>
        <w:tab/>
        <w:t>Большое значение для предотвращения распространения дыма</w:t>
        <w:br/>
        <w:t>по этажам и квартирам имеют уплотняющие резиновые и синтетические прокладки в притворах дверей и доводчики (пружины на дверях коридоров</w:t>
        <w:br/>
        <w:t>и лестничных клеток).</w:t>
      </w:r>
    </w:p>
    <w:p>
      <w:pPr>
        <w:pStyle w:val="Normal"/>
        <w:tabs>
          <w:tab w:val="clear" w:pos="708"/>
          <w:tab w:val="left" w:pos="1276" w:leader="none"/>
        </w:tabs>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64" w:before="0" w:after="0"/>
        <w:jc w:val="center"/>
        <w:rPr>
          <w:rFonts w:ascii="Times New Roman" w:hAnsi="Times New Roman" w:cs="Times New Roman"/>
          <w:b/>
          <w:b/>
          <w:sz w:val="28"/>
          <w:szCs w:val="28"/>
        </w:rPr>
      </w:pPr>
      <w:r>
        <w:rPr>
          <w:rFonts w:cs="Times New Roman" w:ascii="Times New Roman" w:hAnsi="Times New Roman"/>
          <w:b/>
          <w:sz w:val="28"/>
          <w:szCs w:val="28"/>
        </w:rPr>
        <w:t>В зданиях повышенной этажности необходимо соблюдать следующие правила:</w:t>
      </w:r>
    </w:p>
    <w:p>
      <w:pPr>
        <w:pStyle w:val="Style32"/>
        <w:numPr>
          <w:ilvl w:val="0"/>
          <w:numId w:val="10"/>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Следить за наличием уплотняющих прокладок и доводчиков</w:t>
        <w:br/>
        <w:t>в притворах дверей двери лестничных клеток, лифтовых холлов и тамбуров.</w:t>
      </w:r>
    </w:p>
    <w:p>
      <w:pPr>
        <w:pStyle w:val="Style32"/>
        <w:numPr>
          <w:ilvl w:val="0"/>
          <w:numId w:val="10"/>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Доступ к люкам на балконах должен быть постоянно свободным,</w:t>
        <w:br/>
        <w:t>а в зимнее время люки должны быть очищены от снега и льда.</w:t>
      </w:r>
    </w:p>
    <w:p>
      <w:pPr>
        <w:pStyle w:val="Style32"/>
        <w:numPr>
          <w:ilvl w:val="0"/>
          <w:numId w:val="10"/>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Двери коридоров, в которых расположены пожарные краны,</w:t>
        <w:br/>
        <w:t>нельзя закрывать на замки и запоры.</w:t>
      </w:r>
    </w:p>
    <w:p>
      <w:pPr>
        <w:pStyle w:val="Style32"/>
        <w:numPr>
          <w:ilvl w:val="0"/>
          <w:numId w:val="10"/>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Не снимать датчики пожарной сигнализации и следить</w:t>
        <w:br/>
        <w:t>за их исправностью.</w:t>
      </w:r>
    </w:p>
    <w:p>
      <w:pPr>
        <w:pStyle w:val="Style32"/>
        <w:numPr>
          <w:ilvl w:val="0"/>
          <w:numId w:val="10"/>
        </w:numPr>
        <w:tabs>
          <w:tab w:val="clear" w:pos="708"/>
          <w:tab w:val="left" w:pos="1276" w:leader="none"/>
        </w:tabs>
        <w:spacing w:lineRule="auto" w:line="264" w:before="0" w:after="0"/>
        <w:ind w:left="0" w:firstLine="709"/>
        <w:contextualSpacing/>
        <w:jc w:val="both"/>
        <w:rPr/>
      </w:pPr>
      <w:r>
        <w:rPr>
          <w:rFonts w:cs="Times New Roman" w:ascii="Times New Roman" w:hAnsi="Times New Roman"/>
          <w:sz w:val="28"/>
          <w:szCs w:val="28"/>
        </w:rPr>
        <w:t>Не допускать остекление или заделку воздушных зон</w:t>
        <w:br/>
        <w:t>в незадымляемых лестничных клетках.</w:t>
      </w:r>
    </w:p>
    <w:p>
      <w:pPr>
        <w:pStyle w:val="Style32"/>
        <w:numPr>
          <w:ilvl w:val="0"/>
          <w:numId w:val="10"/>
        </w:numPr>
        <w:tabs>
          <w:tab w:val="clear" w:pos="708"/>
          <w:tab w:val="left" w:pos="1276" w:leader="none"/>
        </w:tabs>
        <w:spacing w:lineRule="auto" w:line="264"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Нельзя хранить вещи в коридорах, на балконах и лестничных клетках.</w:t>
      </w:r>
    </w:p>
    <w:p>
      <w:pPr>
        <w:pStyle w:val="Style32"/>
        <w:numPr>
          <w:ilvl w:val="0"/>
          <w:numId w:val="10"/>
        </w:numPr>
        <w:tabs>
          <w:tab w:val="clear" w:pos="708"/>
          <w:tab w:val="left" w:pos="1276" w:leader="none"/>
        </w:tabs>
        <w:spacing w:lineRule="auto" w:line="264"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Не разрешать детям включать противопожарные устройства.</w:t>
      </w:r>
    </w:p>
    <w:p>
      <w:pPr>
        <w:pStyle w:val="Style32"/>
        <w:numPr>
          <w:ilvl w:val="0"/>
          <w:numId w:val="10"/>
        </w:numPr>
        <w:tabs>
          <w:tab w:val="clear" w:pos="708"/>
          <w:tab w:val="left" w:pos="1276" w:leader="none"/>
        </w:tabs>
        <w:spacing w:lineRule="auto" w:line="264" w:before="0" w:after="0"/>
        <w:ind w:left="0" w:firstLine="709"/>
        <w:contextualSpacing/>
        <w:jc w:val="center"/>
        <w:rPr>
          <w:rFonts w:ascii="Times New Roman" w:hAnsi="Times New Roman" w:cs="Times New Roman"/>
          <w:sz w:val="28"/>
          <w:szCs w:val="28"/>
        </w:rPr>
      </w:pPr>
      <w:r>
        <w:rPr>
          <w:rFonts w:cs="Times New Roman" w:ascii="Times New Roman" w:hAnsi="Times New Roman"/>
          <w:sz w:val="28"/>
          <w:szCs w:val="28"/>
        </w:rPr>
        <w:t>Периодически проверять работоспособность СПС и ДПИ, осуществлять их обслуживание согласно регламенту.</w:t>
      </w:r>
      <w:r>
        <w:br w:type="page"/>
      </w:r>
    </w:p>
    <w:p>
      <w:pPr>
        <w:pStyle w:val="Style32"/>
        <w:tabs>
          <w:tab w:val="clear" w:pos="708"/>
          <w:tab w:val="left" w:pos="1276" w:leader="none"/>
        </w:tabs>
        <w:spacing w:lineRule="auto" w:line="264" w:before="0" w:after="0"/>
        <w:ind w:left="0" w:firstLine="709"/>
        <w:contextualSpacing/>
        <w:jc w:val="center"/>
        <w:rPr/>
      </w:pPr>
      <w:r>
        <w:rPr>
          <w:rFonts w:cs="Times New Roman" w:ascii="Times New Roman" w:hAnsi="Times New Roman"/>
          <w:b/>
          <w:sz w:val="28"/>
          <w:szCs w:val="28"/>
          <w:lang w:val="en-US"/>
        </w:rPr>
        <w:t>II</w:t>
      </w:r>
      <w:r>
        <w:rPr>
          <w:rFonts w:cs="Times New Roman" w:ascii="Times New Roman" w:hAnsi="Times New Roman"/>
          <w:b/>
          <w:sz w:val="28"/>
          <w:szCs w:val="28"/>
        </w:rPr>
        <w:t>. Листы самообследования жилых помещений на выявление факторов, способствующих возможности возникновения и распространения пожара</w:t>
      </w:r>
    </w:p>
    <w:p>
      <w:pPr>
        <w:pStyle w:val="Normal"/>
        <w:autoSpaceDE w:val="false"/>
        <w:spacing w:lineRule="auto" w:line="240" w:before="0" w:after="0"/>
        <w:ind w:firstLine="709"/>
        <w:jc w:val="both"/>
        <w:rPr/>
      </w:pPr>
      <w:r>
        <w:rPr>
          <w:rFonts w:cs="Times New Roman" w:ascii="Times New Roman" w:hAnsi="Times New Roman"/>
          <w:sz w:val="28"/>
          <w:szCs w:val="28"/>
        </w:rPr>
        <w:t>Листы самообследования содержат список контрольных вопросов, помогающих собственникам жилья, ответственным квартиросъемщикам</w:t>
        <w:br/>
        <w:t>или арендаторам самостоятельно провести проверку жилого помещения</w:t>
        <w:br/>
        <w:t>на соответствие требованиям пожарной безопасности, а также содержат рекомендации по порядку осуществления действий в случае обнаружения факторов, способствующих возможности возникновения и распространения пожара.</w:t>
      </w:r>
    </w:p>
    <w:p>
      <w:pPr>
        <w:pStyle w:val="Normal"/>
        <w:autoSpaceDE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Листы самообследования разработаны с учетом того, что к разным категориям объектов применяются разные требования по пожарной безопасности. </w:t>
      </w:r>
    </w:p>
    <w:p>
      <w:pPr>
        <w:pStyle w:val="Normal"/>
        <w:autoSpaceDE w:val="false"/>
        <w:spacing w:lineRule="auto" w:line="240" w:before="0" w:after="0"/>
        <w:ind w:firstLine="709"/>
        <w:jc w:val="both"/>
        <w:rPr/>
      </w:pPr>
      <w:r>
        <w:rPr>
          <w:rFonts w:cs="Times New Roman" w:ascii="Times New Roman" w:hAnsi="Times New Roman"/>
          <w:sz w:val="28"/>
          <w:szCs w:val="28"/>
        </w:rPr>
        <w:t>При использовании листа самообследования жилых помещений</w:t>
        <w:br/>
        <w:t>на выявление факторов, способствующих возможности возникновения</w:t>
        <w:br/>
        <w:t xml:space="preserve">и распространения пожара, в одноквартирном жилом доме, основной акцент направлен на: </w:t>
      </w:r>
    </w:p>
    <w:p>
      <w:pPr>
        <w:pStyle w:val="Normal"/>
        <w:autoSpaceDE w:val="false"/>
        <w:spacing w:lineRule="auto" w:line="240" w:before="0" w:after="0"/>
        <w:ind w:firstLine="709"/>
        <w:jc w:val="both"/>
        <w:rPr/>
      </w:pPr>
      <w:r>
        <w:rPr>
          <w:rFonts w:cs="Times New Roman" w:ascii="Times New Roman" w:hAnsi="Times New Roman"/>
          <w:sz w:val="28"/>
          <w:szCs w:val="28"/>
        </w:rPr>
        <w:t>- обнаружение неисправности электрической проводки и электроприборов;</w:t>
      </w:r>
    </w:p>
    <w:p>
      <w:pPr>
        <w:pStyle w:val="Normal"/>
        <w:autoSpaceDE w:val="false"/>
        <w:spacing w:lineRule="auto" w:line="240" w:before="0" w:after="0"/>
        <w:ind w:firstLine="709"/>
        <w:jc w:val="both"/>
        <w:rPr/>
      </w:pPr>
      <w:r>
        <w:rPr>
          <w:rFonts w:cs="Times New Roman" w:ascii="Times New Roman" w:hAnsi="Times New Roman"/>
          <w:sz w:val="28"/>
          <w:szCs w:val="28"/>
        </w:rPr>
        <w:t>- обнаружение неисправности газового оборудованию;</w:t>
      </w:r>
    </w:p>
    <w:p>
      <w:pPr>
        <w:pStyle w:val="Normal"/>
        <w:autoSpaceDE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обнаружение нарушения использования газового оборудования,</w:t>
        <w:br/>
        <w:t>в том числе газовых баллонов;</w:t>
      </w:r>
    </w:p>
    <w:p>
      <w:pPr>
        <w:pStyle w:val="Normal"/>
        <w:autoSpaceDE w:val="false"/>
        <w:spacing w:lineRule="auto" w:line="240" w:before="0" w:after="0"/>
        <w:ind w:firstLine="709"/>
        <w:jc w:val="both"/>
        <w:rPr/>
      </w:pPr>
      <w:r>
        <w:rPr>
          <w:rFonts w:cs="Times New Roman" w:ascii="Times New Roman" w:hAnsi="Times New Roman"/>
          <w:sz w:val="28"/>
          <w:szCs w:val="28"/>
        </w:rPr>
        <w:t>- обнаружение неисправности печей и печного отопления;</w:t>
      </w:r>
    </w:p>
    <w:p>
      <w:pPr>
        <w:pStyle w:val="Normal"/>
        <w:autoSpaceDE w:val="false"/>
        <w:spacing w:lineRule="auto" w:line="240" w:before="0" w:after="0"/>
        <w:ind w:firstLine="709"/>
        <w:jc w:val="both"/>
        <w:rPr/>
      </w:pPr>
      <w:r>
        <w:rPr>
          <w:rFonts w:cs="Times New Roman" w:ascii="Times New Roman" w:hAnsi="Times New Roman"/>
          <w:sz w:val="28"/>
          <w:szCs w:val="28"/>
        </w:rPr>
        <w:t>- нарушение правил содержания и эксплуатации территории.</w:t>
      </w:r>
    </w:p>
    <w:p>
      <w:pPr>
        <w:pStyle w:val="Normal"/>
        <w:autoSpaceDE w:val="false"/>
        <w:spacing w:lineRule="auto" w:line="240" w:before="0" w:after="0"/>
        <w:ind w:firstLine="709"/>
        <w:jc w:val="both"/>
        <w:rPr/>
      </w:pPr>
      <w:r>
        <w:rPr>
          <w:rFonts w:cs="Times New Roman" w:ascii="Times New Roman" w:hAnsi="Times New Roman"/>
          <w:sz w:val="28"/>
          <w:szCs w:val="28"/>
        </w:rPr>
        <w:t>Поскольку многоквартирный жилой дом существенно отличается</w:t>
        <w:br/>
        <w:t>от одноквартирного как с технической точки зрения, так и с точки зрения распределения ответственности между собственниками (арендаторами)</w:t>
        <w:br/>
        <w:t>и обслуживающей организацией лист самообследования жилых помещений</w:t>
        <w:br/>
        <w:t>на выявление факторов, способствующих возможности возникновения</w:t>
        <w:br/>
        <w:t>и распространения пожара, в многоквартирном жилом доме этажностью</w:t>
        <w:br/>
        <w:t xml:space="preserve">до 9 этажей включительно, содержит следующие разделы: </w:t>
      </w:r>
    </w:p>
    <w:p>
      <w:pPr>
        <w:pStyle w:val="Normal"/>
        <w:autoSpaceDE w:val="false"/>
        <w:spacing w:lineRule="auto" w:line="240" w:before="0" w:after="0"/>
        <w:ind w:firstLine="709"/>
        <w:jc w:val="both"/>
        <w:rPr/>
      </w:pPr>
      <w:r>
        <w:rPr>
          <w:rFonts w:cs="Times New Roman" w:ascii="Times New Roman" w:hAnsi="Times New Roman"/>
          <w:sz w:val="28"/>
          <w:szCs w:val="28"/>
        </w:rPr>
        <w:t>- обнаруженные неисправности по электрической проводке</w:t>
        <w:br/>
        <w:t>и электроприборам;</w:t>
      </w:r>
    </w:p>
    <w:p>
      <w:pPr>
        <w:pStyle w:val="Normal"/>
        <w:autoSpaceDE w:val="false"/>
        <w:spacing w:lineRule="auto" w:line="240" w:before="0" w:after="0"/>
        <w:ind w:firstLine="709"/>
        <w:jc w:val="both"/>
        <w:rPr/>
      </w:pPr>
      <w:r>
        <w:rPr>
          <w:rFonts w:cs="Times New Roman" w:ascii="Times New Roman" w:hAnsi="Times New Roman"/>
          <w:sz w:val="28"/>
          <w:szCs w:val="28"/>
        </w:rPr>
        <w:t>- обнаружение неисправности и нарушение правил эксплуатации газового оборудования;</w:t>
      </w:r>
    </w:p>
    <w:p>
      <w:pPr>
        <w:pStyle w:val="Normal"/>
        <w:autoSpaceDE w:val="false"/>
        <w:spacing w:lineRule="auto" w:line="240" w:before="0" w:after="0"/>
        <w:ind w:firstLine="709"/>
        <w:jc w:val="both"/>
        <w:rPr/>
      </w:pPr>
      <w:r>
        <w:rPr>
          <w:rFonts w:cs="Times New Roman" w:ascii="Times New Roman" w:hAnsi="Times New Roman"/>
          <w:sz w:val="28"/>
          <w:szCs w:val="28"/>
        </w:rPr>
        <w:t>- нарушение требований пожарной безопасности к путям эвакуации.</w:t>
      </w:r>
    </w:p>
    <w:p>
      <w:pPr>
        <w:pStyle w:val="Normal"/>
        <w:autoSpaceDE w:val="false"/>
        <w:spacing w:lineRule="auto" w:line="240" w:before="0" w:after="0"/>
        <w:ind w:firstLine="709"/>
        <w:jc w:val="both"/>
        <w:rPr/>
      </w:pPr>
      <w:r>
        <w:rPr>
          <w:rFonts w:cs="Times New Roman" w:ascii="Times New Roman" w:hAnsi="Times New Roman"/>
          <w:sz w:val="28"/>
          <w:szCs w:val="28"/>
        </w:rPr>
        <w:t>Многоквартирный жилой дом высотой свыше 28 метров (что обычно составляет 10 этажей и больше), как правило, не оборудуется газоснабжением</w:t>
        <w:br/>
        <w:t>и содержит СПС. Таким образом, лист самообследования жилых помещений</w:t>
        <w:br/>
        <w:t>на выявление факторов, способствующих возможности возникновения</w:t>
        <w:br/>
        <w:t>и распространения пожара, в многоквартирном жилом доме этажностью</w:t>
        <w:br/>
        <w:t>свыше 10 этажей, содержит следующие разделы:</w:t>
      </w:r>
    </w:p>
    <w:p>
      <w:pPr>
        <w:pStyle w:val="Normal"/>
        <w:autoSpaceDE w:val="false"/>
        <w:spacing w:lineRule="auto" w:line="240" w:before="0" w:after="0"/>
        <w:ind w:firstLine="709"/>
        <w:jc w:val="both"/>
        <w:rPr/>
      </w:pPr>
      <w:r>
        <w:rPr>
          <w:rFonts w:cs="Times New Roman" w:ascii="Times New Roman" w:hAnsi="Times New Roman"/>
          <w:sz w:val="28"/>
          <w:szCs w:val="28"/>
        </w:rPr>
        <w:t>- обнаруженные неисправности электрической проводки</w:t>
        <w:br/>
        <w:t>и электроприборов;</w:t>
      </w:r>
    </w:p>
    <w:p>
      <w:pPr>
        <w:sectPr>
          <w:headerReference w:type="default" r:id="rId3"/>
          <w:headerReference w:type="first" r:id="rId4"/>
          <w:footerReference w:type="default" r:id="rId5"/>
          <w:footerReference w:type="first" r:id="rId6"/>
          <w:type w:val="nextPage"/>
          <w:pgSz w:w="11906" w:h="16838"/>
          <w:pgMar w:left="1418" w:right="567" w:header="709" w:top="851" w:footer="709" w:bottom="1134" w:gutter="0"/>
          <w:pgNumType w:fmt="decimal"/>
          <w:formProt w:val="false"/>
          <w:titlePg/>
          <w:textDirection w:val="lrTb"/>
          <w:docGrid w:type="default" w:linePitch="360" w:charSpace="0"/>
        </w:sectPr>
        <w:pStyle w:val="Normal"/>
        <w:autoSpaceDE w:val="false"/>
        <w:spacing w:lineRule="auto" w:line="240" w:before="0" w:after="0"/>
        <w:ind w:firstLine="709"/>
        <w:jc w:val="both"/>
        <w:rPr>
          <w:rFonts w:ascii="Times New Roman" w:hAnsi="Times New Roman" w:cs="Times New Roman"/>
          <w:b/>
          <w:b/>
          <w:bCs/>
          <w:sz w:val="28"/>
          <w:szCs w:val="28"/>
        </w:rPr>
      </w:pPr>
      <w:r>
        <w:rPr>
          <w:rFonts w:cs="Times New Roman" w:ascii="Times New Roman" w:hAnsi="Times New Roman"/>
          <w:sz w:val="28"/>
          <w:szCs w:val="28"/>
        </w:rPr>
        <w:t>- обнаружение неисправности на путях эвакуации и СПС.</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Лист самообследования жилых помещений на выявление факторов, способствующих возможности возникновения и распространения пожара, в одноквартирном жилом доме</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bl>
      <w:tblPr>
        <w:tblW w:w="15002" w:type="dxa"/>
        <w:jc w:val="left"/>
        <w:tblInd w:w="-113" w:type="dxa"/>
        <w:tblCellMar>
          <w:top w:w="0" w:type="dxa"/>
          <w:left w:w="108" w:type="dxa"/>
          <w:bottom w:w="0" w:type="dxa"/>
          <w:right w:w="108" w:type="dxa"/>
        </w:tblCellMar>
      </w:tblPr>
      <w:tblGrid>
        <w:gridCol w:w="6487"/>
        <w:gridCol w:w="4394"/>
        <w:gridCol w:w="4121"/>
      </w:tblGrid>
      <w:tr>
        <w:trPr>
          <w:tblHeader w:val="true"/>
        </w:trPr>
        <w:tc>
          <w:tcPr>
            <w:tcW w:w="648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Наименование фактора, </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способствующего возможности возникновения</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и распространения пожара</w:t>
            </w:r>
          </w:p>
        </w:tc>
        <w:tc>
          <w:tcPr>
            <w:tcW w:w="439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Действия при обнаружении фактора</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Нормативная ссылка</w:t>
            </w:r>
          </w:p>
        </w:tc>
      </w:tr>
      <w:tr>
        <w:trPr/>
        <w:tc>
          <w:tcPr>
            <w:tcW w:w="150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8"/>
                <w:szCs w:val="28"/>
              </w:rPr>
              <w:t>Неисправности электрической проводки и электроприборов</w:t>
            </w:r>
          </w:p>
        </w:tc>
      </w:tr>
      <w:tr>
        <w:trPr>
          <w:trHeight w:val="406"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Эксплуатируется проводка с видимыми повреждениями изоляции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Заменить поврежденные провода</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 в Российской Федерации, утвержденных постановлением Правительства Российской Федерации от 16.09.2020 № 1479 (далее – Правила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Обесточить помещение, вызвать квалифицированного специалиста. Заменить провода.</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 35 Правил противопожарного режима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Эксплуатируются электроприборы, которые: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сильно нагреваются во время работы (за исключением нагревательных электроприборов, чайников, кипятильников и т.п.).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искрят.</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имеют видимые повреждения, либо ощущается посторонний запах, наблюдается эффект нагрева металла, сопровождающийся изменением цвета проводов и клеммных соединений в местах контактов электроповодников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contextualSpacing/>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Розетки ненадежно закреплены, имеют следы теплового воздействия (оплавления), горячие на ощупь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Обесточить помещение, вызвать квалифицированного специалиста</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в электроприборах штепсельных вилок с несоответствующим диаметром</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В помещении производится сушка белья или одежды на электрообогревателях</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Исключить использование электрообогревателей для сушки белья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Отопительные приборы расположены в непосредственной близости к другим электроприборам</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Расставить электроприборы и отопительные приборы так, чтобы минимизировать их воздействие друг на друга</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неисправного электрооборудования.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самодельного электрооборудования.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В случае подключения мощных энергопотребителей (электрический чайник, тостер, утюг) они используются одновременно</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Прекратить эксплуатацию части электроприборов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удлинителей</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Неиспользуемые электроприборы не отключены от сети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Отключить неиспользуемые электроприборы от сети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Эксплуатируются нестандартные (самодельные) отопительные, нагревательные и иные электроприборы</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данных электроприборов.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Установить соответствующие предохранители или заменить на автоматические выключатели.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Оборудовать светильники колпаками, исключить использование горючих материалов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Используются нестандартные (самодельные) электрические электронагревательные приборы и удлинители для питания электроприборов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 заменить на оборудование заводской готовности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Выполнить монтаж по не горючему основанию или на изоляторах</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Эксплуатация электропроводки и электроприборов без аппаратов защиты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Убрать от электрооборудования горючие, легковоспламеняющиеся вещества и материалы</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Ввод электрической сети в жилой дом через горючие конструкции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Обеспечить ввод электропроводников через негорючие конструкции (использование кабель каналов). </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Светильники с лампами накаливания установлены на небезопасном расстоянии от горючих материалов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приборы освещения на безопасное расстояние от горючих материалов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электронагревательных приборов (ТЭНы, радиаторы, пушки, ветродуи и т.п.) в непосредственной близости с легкогорючими материалами (хлопчатобумажные изделия, полимерные материалы и т.д.)</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Поменять лампу накаливания на лампу меньшей мощности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 </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ГОСТ МЭК 62619-2020 «Аккумуляторы и аккумуляторные батарей, содержание щелочной или другие некислотные электролиты»</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Электрокипятильники погружные используются без воды в емкости, либо когда уровень воды ниже нижней риски данного кипятильника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электрокипятильника, долить воды до необходимой отметки</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ГОСТ 14705-83 «Электрокипятильники погружные. Общие технические условия»</w:t>
            </w:r>
          </w:p>
        </w:tc>
      </w:tr>
      <w:tr>
        <w:trPr/>
        <w:tc>
          <w:tcPr>
            <w:tcW w:w="6487"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Допускаются прокладка и эксплуатация воздушных линий электропередачи (в том числе временных и проложенных кабелем) над горючими кровлями, навесами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Осуществлять прокладку кабельных линий только над негорючими кровлями, навесами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Электроприборы и электрические сети расположены вблизи с «мокрыми зонами» помещения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Расставить электроприборы на удалении от «мокрой зоны», переместить электрические сети из мокрой зоны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Подключение и подача электроэнергии самостоятельно без прибора учета и автомата защиты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Произвести подключение электросети через приборы учета электроэнергии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highlight w:val="green"/>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Радиусы внутренней и наружной кривой изгиба кабелей составляет 90 градусов и менее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острый или прямой угол перегиба</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highlight w:val="green"/>
              </w:rPr>
            </w:pPr>
            <w:r>
              <w:rPr>
                <w:rFonts w:cs="Times New Roman" w:ascii="Times New Roman" w:hAnsi="Times New Roman"/>
                <w:sz w:val="24"/>
                <w:szCs w:val="24"/>
              </w:rPr>
              <w:t>Правила устройства электроустановок</w:t>
            </w:r>
          </w:p>
        </w:tc>
      </w:tr>
      <w:tr>
        <w:trPr>
          <w:trHeight w:val="708"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Жилой дом не оборудован молниезащитой</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Оборудовать дом молниезащитой</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sz w:val="24"/>
                <w:szCs w:val="24"/>
              </w:rPr>
              <w:t>Инструкция Минэнерго России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СО 153-34-21-122-2003.2004 «Инструкция по устройству молниезащиты зданий, сооружений и промышленных коммуникаций»</w:t>
            </w:r>
          </w:p>
        </w:tc>
      </w:tr>
      <w:tr>
        <w:trPr/>
        <w:tc>
          <w:tcPr>
            <w:tcW w:w="150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Неисправности газового оборудования</w:t>
            </w:r>
          </w:p>
        </w:tc>
      </w:tr>
      <w:tr>
        <w:trPr/>
        <w:tc>
          <w:tcPr>
            <w:tcW w:w="150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Газовые плиты и газовое оборудование</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Перед использованием газового оборудования помещение не проветрено, а форточка не открыта (заложена)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газового оборудования, проветрить помещение, открыть форточку, организовать постоянное проветривание</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41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Отсутствие тяги в вытяжной системе газового оборудования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 помощью квалифицированного специалиста, устранить неисправность в вытяжной системе</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Вблизи работающей плиты расположены легковоспламеняющиеся материалы и жидкости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Допускается эксплуатация неисправных газовых приборов, а также газового оборудования, не прошедшего техническое обслуживание</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использование газовых приборов, вызвать специалиста</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Осуществляется самостоятельное присоединение деталей газовой арматуры, в том числе с помощью искрообразующего инструмента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Вызвать специалиста.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Исключить применение искрообразующего инструмента</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87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Допускается износ или применение несоответствующего типа прокладок соединений газового оборудования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Своевременная замена</w:t>
            </w:r>
          </w:p>
        </w:tc>
        <w:tc>
          <w:tcPr>
            <w:tcW w:w="412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40 Правил противопожарного режима; </w:t>
            </w:r>
          </w:p>
          <w:p>
            <w:pPr>
              <w:pStyle w:val="Normal"/>
              <w:spacing w:lineRule="auto" w:line="240" w:before="0" w:after="0"/>
              <w:jc w:val="center"/>
              <w:rPr/>
            </w:pPr>
            <w:r>
              <w:rPr>
                <w:rFonts w:cs="Times New Roman" w:ascii="Times New Roman" w:hAnsi="Times New Roman"/>
                <w:sz w:val="24"/>
                <w:szCs w:val="24"/>
              </w:rPr>
              <w:t>ГОСТ 52209-2004 «Соединения газовых горелок и аппаратов»</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Ощущается запах газа в помещении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 обнаружении запаха газа надо:</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при входе в загазованное помещение выбросить из карманов спички, зажигалки, чтобы машинально их не зажечь;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закрыть кран газопровода, проветрить кухню (помещения);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отключить электричество в (помещении) доме, парадной;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отключить все телефоны, так как они «искрят»;</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эвакуировать жильцов;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срочно вызвать аварийную газовую службу.</w:t>
            </w:r>
          </w:p>
          <w:p>
            <w:pPr>
              <w:pStyle w:val="Normal"/>
              <w:spacing w:lineRule="auto" w:line="240" w:before="0" w:after="0"/>
              <w:jc w:val="both"/>
              <w:rPr/>
            </w:pPr>
            <w:r>
              <w:rPr>
                <w:rFonts w:cs="Times New Roman" w:ascii="Times New Roman" w:hAnsi="Times New Roman"/>
                <w:sz w:val="24"/>
                <w:szCs w:val="24"/>
              </w:rPr>
              <w:t>Категорические запрещается использовать любые предметы,</w:t>
              <w:br/>
              <w:t>при эксплуатации которых возможно образование искр. Организовать проветривание помещений путем открытия оконных и дверных проемов для снижения концентрации газа в помещениях.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Немедленно прекратить эксплуатацию газовых приборов, перекрыть подачу газа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 40 Правил противопожарного режима;</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br/>
              <w:t>от 5 декабря 2017 г. №1614/пр</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«Об утверждении инструкции</w:t>
              <w:br/>
              <w:t xml:space="preserve">по безопасному использованию газа при удовлетворении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коммунально-бытовых нужд» </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sz w:val="24"/>
                <w:szCs w:val="24"/>
              </w:rPr>
              <w:t xml:space="preserve">(далее – приказ </w:t>
            </w:r>
            <w:r>
              <w:rPr>
                <w:rFonts w:cs="Times New Roman" w:ascii="Times New Roman" w:hAnsi="Times New Roman"/>
                <w:bCs/>
                <w:sz w:val="24"/>
                <w:szCs w:val="24"/>
              </w:rPr>
              <w:t>Минстроя России</w:t>
              <w:br/>
              <w:t>от 5 декабря 2017 г. №1614/пр)</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 без присмотра.</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(разместить) мебель и другие горючие предметы и материалы на требуемое расстояние от газового оборудования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Газовые отопительные приборы подключены к воздуховодам и используются для удаления продуктов горения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Прекратить эксплуатацию газовых приборов, подключенных к воздуховодам </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Сработало оповещение (звуковое оповещение) сигнализатора загазованности в помещении(ях) объекта, где используется газовое оборудование.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Отсутствует сигнализатор загазованности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сигнализатор загазованности при его отсутствии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Правило обязательно для исполнения только собственникам жилых помещений, в которых предусмотрено устанавливать датчики загазованности</w:t>
              <w:br/>
              <w:t>по техническим характеристикам</w:t>
              <w:br/>
              <w:t>на газовое оборудование</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Помещение с работающими газовыми приборами используются для сна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 xml:space="preserve">от 5 декабря 2017 г. №1614/пр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Газовые бытовые плиты используются для обогрева помещения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sz w:val="24"/>
                <w:szCs w:val="24"/>
                <w:highlight w:val="yellow"/>
              </w:rPr>
            </w:pPr>
            <w:r>
              <w:rPr>
                <w:rFonts w:cs="Times New Roman" w:ascii="Times New Roman" w:hAnsi="Times New Roman"/>
                <w:bCs/>
                <w:sz w:val="24"/>
                <w:szCs w:val="24"/>
              </w:rPr>
              <w:t xml:space="preserve">от 5 декабря 2017 г. №1614/пр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Times New Roman" w:ascii="Times New Roman" w:hAnsi="Times New Roman"/>
                <w:sz w:val="24"/>
                <w:szCs w:val="24"/>
              </w:rPr>
              <w:t>Резинотканевый рукав (шланг) имеет видимые следы повреждений, либо перекручен или согнут</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 Устранить повреждения, проверить их герметичность, вызвать специальную службу.</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 xml:space="preserve">от 5 декабря 2017 г. №1614/пр </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Газовые плиты применяются для сушки белья и одежды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сушку белья над газовыми плитами и вблизи нее</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Cs/>
                <w:sz w:val="24"/>
                <w:szCs w:val="24"/>
              </w:rPr>
              <w:t>от 5 декабря 2017 г. №1614/пр</w:t>
            </w:r>
          </w:p>
        </w:tc>
      </w:tr>
      <w:tr>
        <w:trPr>
          <w:trHeight w:val="1133"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Применять газовые шланги не проводящие электрический ток, либо установить диэлектрическую вставку</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СП42-101-2003</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Газовая плита с электророзжигом подключена к розетке без заземления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Отключить плиту от розетки и проверить контур заземления.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Cs/>
                <w:sz w:val="24"/>
                <w:szCs w:val="24"/>
              </w:rPr>
              <w:t>СНиП 42-01-2002. Газораспределительные системы»</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Ручка крана конфорок</w:t>
            </w:r>
            <w:r>
              <w:rPr>
                <w:rFonts w:cs="Times New Roman" w:ascii="Times New Roman" w:hAnsi="Times New Roman"/>
                <w:bCs/>
                <w:sz w:val="24"/>
                <w:szCs w:val="24"/>
              </w:rPr>
              <w:t xml:space="preserve"> стола, духового шкафа крутятся с усилием либо </w:t>
            </w:r>
            <w:r>
              <w:rPr>
                <w:rFonts w:cs="Times New Roman" w:ascii="Times New Roman" w:hAnsi="Times New Roman"/>
                <w:sz w:val="24"/>
                <w:szCs w:val="24"/>
              </w:rPr>
              <w:t>электроподжиг конфорок на искру срабатывает не с первого раза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Провести обслуживание газовой плиты</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от 5 декабря 2017 г. №1614/пр</w:t>
            </w:r>
          </w:p>
        </w:tc>
      </w:tr>
      <w:tr>
        <w:trPr/>
        <w:tc>
          <w:tcPr>
            <w:tcW w:w="150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Газовые баллоны</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Баллон с газом установлен на расстоянии менее 1 метра от отопительных приборов, менее 5 метров до открытого источника огня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Times New Roman" w:ascii="Times New Roman" w:hAnsi="Times New Roman"/>
                <w:sz w:val="24"/>
                <w:szCs w:val="24"/>
              </w:rPr>
              <w:t>Переместить газовые баллоны на расстояние не менее 1 метра от отопительных приборов, не менее 5 метров до открытого источника огня.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57 Правил противопожарного режима</w:t>
            </w:r>
          </w:p>
        </w:tc>
      </w:tr>
      <w:tr>
        <w:trPr>
          <w:trHeight w:val="1659"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При невозможности установки в одном помещении с газовой плитой (за исключением 1 баллона объемом не более 5 литров, подключенного к газовой плите заводского изготовления) баллон не установлен на улице в запирающемся металлическом шкафу с отверстиями для проветривания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Установить баллон на улице в запирающемся металлическом шкафу с отверстиями для проветривания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57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Отсутствует предупреждающий знак пожарной безопасности с надписью: "Огнеопасно. Баллоны с газом" у входа в одноквартирный жилой дом, в котором применяются газовые баллоны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предупреждающий знак</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57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Неисправность перекрывного вентиля газового баллона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газового баллона.</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Газовый баллон хранится в условиях воздействия прямых солнечных лучей</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Защитить баллон от воздействия прямых солнечных лучей</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227 Правил противопожарного режима;</w:t>
            </w:r>
          </w:p>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Cs/>
                <w:sz w:val="24"/>
                <w:szCs w:val="24"/>
              </w:rPr>
              <w:t xml:space="preserve">от 5 декабря 2017 г. №1614/пр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Превышается срок эксплуатации газового баллона без должного освидетельствования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Проведение своевременного освидетельствования баллона в профильном учреждении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 xml:space="preserve">Приказ Ростехнадзора </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от 15.12.2020 № 536</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 xml:space="preserve"> </w:t>
            </w:r>
            <w:r>
              <w:rPr>
                <w:rFonts w:cs="Times New Roman" w:ascii="Times New Roman" w:hAnsi="Times New Roman"/>
                <w:bCs/>
                <w:sz w:val="24"/>
                <w:szCs w:val="24"/>
              </w:rPr>
              <w:t xml:space="preserve">«Об утверждении федеральных норм и правил в области промышленной безопасности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Cs/>
                <w:sz w:val="24"/>
                <w:szCs w:val="24"/>
              </w:rPr>
              <w:t>«Правила промышленной безопасности при использовании оборудования, работающего под избыточным давлением»</w:t>
            </w:r>
          </w:p>
        </w:tc>
      </w:tr>
      <w:tr>
        <w:trPr/>
        <w:tc>
          <w:tcPr>
            <w:tcW w:w="150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8"/>
                <w:szCs w:val="28"/>
              </w:rPr>
              <w:t>Неисправности печей и печного отопления</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Печи и другие отопительные приборы эксплуатируются без противопожарных разделок (отступок) от конструкций из горючих материалов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отопительных 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77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Осуществляется хранение пиротехнических изделий вблизи отопительных приборов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Осуществлять хранение пиротехнических изделий в недоступном для детей месте, вдали от отопительных 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443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Топливо, другие горючие вещества и материалы расположены на предтопочном листе</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Переместить горючие вещества и материалы на достаточное расстояние, чтобы исключить влияние теплового воздействия на них</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80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Печи топятся не предназначенным для них видом топлива либо разжигаются с помощью ЛВЖ</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отопительных приборов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80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Вентиляционные и газовые каналы используются в качестве дымоходов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отопительных приборов</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80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Дымоходы печей не очищены от сажи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отопительных приборов. Очистить дымоходы от сажи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78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Зола, шлак, уголь не удаляются в специально отведенные для этого места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Удалить золу, шлак, уголь в специально отведенные для этого места (не ближе 15 метров от сгораемых строений)</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sz w:val="24"/>
                <w:szCs w:val="24"/>
              </w:rPr>
              <w:t>п. 81 Правил противопожарного режима</w:t>
            </w:r>
            <w:r>
              <w:rPr>
                <w:rFonts w:cs="Times New Roman" w:ascii="Times New Roman" w:hAnsi="Times New Roman"/>
                <w:b/>
                <w:sz w:val="24"/>
                <w:szCs w:val="24"/>
              </w:rPr>
              <w:t xml:space="preserve">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Дверца топки печи закрывается не плотно либо неисправна система затвора. Отсутствует запорное устройство. Отсутствует или имеет недостаточный размер предтопочный лист</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недостатки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Обеспечить из негорючего материала размером не менее 50х70 см.</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77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 продолжительной топке осуществляется перекал печи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печи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80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Оставляются без присмотра печи, которые топятся, а также поручается надзор за ними детям</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 оставлять без присмотра затопленную печь и не поручать надзор детям.</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80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Нарушено расстояние между товарами, шкафами и другого оборудования до печей</w:t>
            </w:r>
          </w:p>
        </w:tc>
        <w:tc>
          <w:tcPr>
            <w:tcW w:w="4394"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Разместить не менее 0,7 м, а от топочных отверстий - не менее 1,25 м</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ind w:left="-32" w:hanging="0"/>
              <w:jc w:val="center"/>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 xml:space="preserve">п. 83 </w:t>
            </w:r>
            <w:r>
              <w:rPr>
                <w:rFonts w:cs="Times New Roman" w:ascii="Times New Roman" w:hAnsi="Times New Roman"/>
                <w:sz w:val="24"/>
                <w:szCs w:val="24"/>
              </w:rPr>
              <w:t>Правил противопожарного режима</w:t>
            </w:r>
            <w:r>
              <w:rPr>
                <w:rFonts w:eastAsia="Calibri" w:cs="Times New Roman" w:ascii="Times New Roman" w:hAnsi="Times New Roman"/>
                <w:spacing w:val="3"/>
                <w:sz w:val="24"/>
                <w:szCs w:val="24"/>
              </w:rPr>
              <w:t xml:space="preserve">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Сушка горючих материалов на высоконагреваемых конструкциях печного отопления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Исключить факт сушки горючих материалов на высоконагреваемых конструкциях печного отопления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79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Эксплуатируемые печи имеют:</w:t>
            </w:r>
          </w:p>
          <w:p>
            <w:pPr>
              <w:pStyle w:val="Normal"/>
              <w:spacing w:lineRule="auto" w:line="240" w:before="0" w:after="0"/>
              <w:rPr/>
            </w:pPr>
            <w:r>
              <w:rPr>
                <w:rFonts w:cs="Times New Roman" w:ascii="Times New Roman" w:hAnsi="Times New Roman"/>
                <w:sz w:val="24"/>
                <w:szCs w:val="24"/>
              </w:rPr>
              <w:t>1. Неравномерный нагрев поверхностей.</w:t>
            </w:r>
          </w:p>
          <w:p>
            <w:pPr>
              <w:pStyle w:val="Normal"/>
              <w:spacing w:lineRule="auto" w:line="240" w:before="0" w:after="0"/>
              <w:rPr/>
            </w:pPr>
            <w:r>
              <w:rPr>
                <w:rFonts w:cs="Times New Roman" w:ascii="Times New Roman" w:hAnsi="Times New Roman"/>
                <w:sz w:val="24"/>
                <w:szCs w:val="24"/>
              </w:rPr>
              <w:t>2. Трещины в печах и трубах.</w:t>
            </w:r>
          </w:p>
          <w:p>
            <w:pPr>
              <w:pStyle w:val="Normal"/>
              <w:spacing w:lineRule="auto" w:line="240" w:before="0" w:after="0"/>
              <w:rPr/>
            </w:pPr>
            <w:r>
              <w:rPr>
                <w:rFonts w:cs="Times New Roman" w:ascii="Times New Roman" w:hAnsi="Times New Roman"/>
                <w:sz w:val="24"/>
                <w:szCs w:val="24"/>
              </w:rPr>
              <w:t>3. Щели вокруг разделки и выпадение из нее кирпичей.</w:t>
            </w:r>
          </w:p>
          <w:p>
            <w:pPr>
              <w:pStyle w:val="Normal"/>
              <w:spacing w:lineRule="auto" w:line="240" w:before="0" w:after="0"/>
              <w:rPr/>
            </w:pPr>
            <w:r>
              <w:rPr>
                <w:rFonts w:cs="Times New Roman" w:ascii="Times New Roman" w:hAnsi="Times New Roman"/>
                <w:sz w:val="24"/>
                <w:szCs w:val="24"/>
              </w:rPr>
              <w:t>4. Плохую тягу.</w:t>
            </w:r>
          </w:p>
          <w:p>
            <w:pPr>
              <w:pStyle w:val="Normal"/>
              <w:spacing w:lineRule="auto" w:line="240" w:before="0" w:after="0"/>
              <w:rPr/>
            </w:pPr>
            <w:r>
              <w:rPr>
                <w:rFonts w:cs="Times New Roman" w:ascii="Times New Roman" w:hAnsi="Times New Roman"/>
                <w:sz w:val="24"/>
                <w:szCs w:val="24"/>
              </w:rPr>
              <w:t>5. Следы перегрева и разрушения топливной камеры и дымоходов.</w:t>
            </w:r>
          </w:p>
          <w:p>
            <w:pPr>
              <w:pStyle w:val="Normal"/>
              <w:spacing w:lineRule="auto" w:line="240" w:before="0" w:after="0"/>
              <w:rPr/>
            </w:pPr>
            <w:r>
              <w:rPr>
                <w:rFonts w:cs="Times New Roman" w:ascii="Times New Roman" w:hAnsi="Times New Roman"/>
                <w:sz w:val="24"/>
                <w:szCs w:val="24"/>
              </w:rPr>
              <w:t>6. Следы повреждения топочной арматуры и ослабление ее в кладке.</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7. Следы разрушения боровов и оголовков труб.</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печи. Устранить выявленные нарушения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77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Установлены отопительные котлы кустарного производства, либо не в соответствии с инструкцией завода-изготовителя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котел в соответствии с инструкцией завода-изготовителя, прекратить эксплуатацию отопительных котлов кустарного производства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Cs/>
                <w:sz w:val="24"/>
                <w:szCs w:val="24"/>
              </w:rPr>
              <w:t>от 5 декабря 2017 г. №1614/пр</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Печи, дымовые трубы и стены, в которых проходят дымовые каналы на чердаках не оштукатурены и побелены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отопительных приборов. Произвести ремонт домовых каналов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 7.13130.2013 «Отопление, вентиляция и кондиционирование. Требования пожарной безопасности»</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Дымовые трубы снабжены не исправными искроуловителями (металлическими сетками с размерами ячейки не более 5х5 мм для зданий с кровлей из горючих материалов)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отопительных приборов. Установить исправные искроуловители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 7.13130.2013 «Отопление, вентиляция и кондиционирование. Требования пожарной безопасности»</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дымовых каналах печи, работающей на твердом топливе, отсутствуют задвижки с отверстием менее 15x15 мм</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отопительной печи. Установить нормативные задвижки.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 7.13130.2013 «Отопление, вентиляция и кондиционирование. Требования пожарной безопасности»</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Печь топится с открытой дверкой, дровами, по длине не вмещающимися в топку</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Применить дрова, подходящие по размеру.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Убрать (исключить) несоразмерные дрова из топки печи.</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pacing w:val="4"/>
                <w:sz w:val="24"/>
                <w:highlight w:val="white"/>
              </w:rPr>
              <w:t xml:space="preserve">СП 7.13130.2013 </w:t>
            </w:r>
            <w:r>
              <w:rPr>
                <w:rFonts w:cs="Times New Roman" w:ascii="Times New Roman" w:hAnsi="Times New Roman"/>
                <w:sz w:val="24"/>
                <w:szCs w:val="24"/>
              </w:rPr>
              <w:t>«Отопление, вентиляция и кондиционирование. Требования пожарной безопасности»</w:t>
            </w:r>
          </w:p>
        </w:tc>
      </w:tr>
      <w:tr>
        <w:trPr/>
        <w:tc>
          <w:tcPr>
            <w:tcW w:w="6487"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4"/>
                <w:sz w:val="24"/>
                <w:highlight w:val="white"/>
              </w:rPr>
              <w:t>Вблизи дымохода (или в контакте с ним) складированы горючие материалы (в том числе горючий утеплитель чердачного или междуэтажного перекрытия)</w:t>
            </w:r>
          </w:p>
        </w:tc>
        <w:tc>
          <w:tcPr>
            <w:tcW w:w="4394"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4"/>
                <w:sz w:val="24"/>
                <w:highlight w:val="white"/>
              </w:rPr>
              <w:t>Переместить горючие материалы на безопасное расстояние</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pPr>
            <w:r>
              <w:rPr>
                <w:rFonts w:eastAsia="Calibri" w:cs="Times New Roman" w:ascii="Times New Roman" w:hAnsi="Times New Roman"/>
                <w:spacing w:val="4"/>
                <w:sz w:val="24"/>
                <w:highlight w:val="white"/>
              </w:rPr>
              <w:t xml:space="preserve">СП 7.13130.2013 </w:t>
            </w:r>
            <w:r>
              <w:rPr>
                <w:rFonts w:eastAsia="Calibri" w:cs="Times New Roman" w:ascii="Times New Roman" w:hAnsi="Times New Roman"/>
                <w:spacing w:val="3"/>
                <w:sz w:val="24"/>
                <w:szCs w:val="24"/>
              </w:rPr>
              <w:t>«Отопление, вентиляция и кондиционирование. Требования пожарной безопасности»</w:t>
            </w:r>
          </w:p>
          <w:p>
            <w:pPr>
              <w:pStyle w:val="Normal"/>
              <w:widowControl w:val="false"/>
              <w:spacing w:lineRule="auto" w:line="240" w:before="0" w:after="0"/>
              <w:jc w:val="center"/>
              <w:rPr>
                <w:rFonts w:ascii="Times New Roman" w:hAnsi="Times New Roman" w:eastAsia="Calibri" w:cs="Times New Roman"/>
                <w:spacing w:val="4"/>
                <w:sz w:val="24"/>
                <w:szCs w:val="24"/>
                <w:highlight w:val="white"/>
              </w:rPr>
            </w:pPr>
            <w:r>
              <w:rPr>
                <w:rFonts w:eastAsia="Calibri" w:cs="Times New Roman" w:ascii="Times New Roman" w:hAnsi="Times New Roman"/>
                <w:spacing w:val="4"/>
                <w:sz w:val="24"/>
                <w:szCs w:val="24"/>
                <w:shd w:fill="FFFFFF" w:val="clear"/>
              </w:rPr>
            </w:r>
          </w:p>
        </w:tc>
      </w:tr>
      <w:tr>
        <w:trPr>
          <w:trHeight w:val="1133" w:hRule="atLeast"/>
        </w:trPr>
        <w:tc>
          <w:tcPr>
            <w:tcW w:w="6487"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Допускается эксплуатация дымовых труб и стен, в которых проходят дымовые каналы</w:t>
            </w:r>
          </w:p>
        </w:tc>
        <w:tc>
          <w:tcPr>
            <w:tcW w:w="4394"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Должны быть обработаны и закрыты негорючим составом или материалом, выдержаны соответствующие расстояния от горючих конструкций</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jc w:val="center"/>
              <w:rPr>
                <w:rFonts w:ascii="Times New Roman" w:hAnsi="Times New Roman" w:eastAsia="Calibri" w:cs="Times New Roman"/>
                <w:spacing w:val="3"/>
                <w:sz w:val="24"/>
                <w:szCs w:val="24"/>
              </w:rPr>
            </w:pPr>
            <w:r>
              <w:rPr>
                <w:rFonts w:eastAsia="Calibri" w:cs="Times New Roman" w:ascii="Times New Roman" w:hAnsi="Times New Roman"/>
                <w:spacing w:val="4"/>
                <w:sz w:val="24"/>
                <w:highlight w:val="white"/>
              </w:rPr>
              <w:t xml:space="preserve">СП 7.13130.2013 </w:t>
            </w:r>
            <w:r>
              <w:rPr>
                <w:rFonts w:eastAsia="Calibri" w:cs="Times New Roman" w:ascii="Times New Roman" w:hAnsi="Times New Roman"/>
                <w:spacing w:val="3"/>
                <w:sz w:val="24"/>
                <w:szCs w:val="24"/>
              </w:rPr>
              <w:t>«Отопление, вентиляция и кондиционирование. Требования пожарной безопасности»</w:t>
            </w:r>
          </w:p>
          <w:p>
            <w:pPr>
              <w:pStyle w:val="Normal"/>
              <w:widowControl w:val="false"/>
              <w:spacing w:lineRule="auto" w:line="240" w:before="0" w:after="0"/>
              <w:jc w:val="center"/>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Теплоемкие печи эксплуатируются с асбестоцементными трубами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Прекратить эксплуатацию отопительных приборов. Заменить дымоход, т.к. температура уходящих газов не должна превышать 300 °C </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pacing w:val="4"/>
                <w:sz w:val="24"/>
                <w:shd w:fill="FFFFFF" w:val="clear"/>
              </w:rPr>
              <w:t xml:space="preserve">СП 7.13130.2013 </w:t>
            </w:r>
            <w:r>
              <w:rPr>
                <w:rFonts w:cs="Times New Roman" w:ascii="Times New Roman" w:hAnsi="Times New Roman"/>
                <w:sz w:val="24"/>
                <w:szCs w:val="24"/>
              </w:rPr>
              <w:t>«Отопление, вентиляция и кондиционирование. Требования пожарной безопасности»</w:t>
            </w:r>
          </w:p>
          <w:p>
            <w:pPr>
              <w:pStyle w:val="Normal"/>
              <w:spacing w:lineRule="auto" w:line="240" w:before="0" w:after="0"/>
              <w:rPr>
                <w:rFonts w:ascii="Times New Roman" w:hAnsi="Times New Roman" w:cs="Times New Roman"/>
                <w:sz w:val="24"/>
                <w:szCs w:val="24"/>
                <w:highlight w:val="green"/>
              </w:rPr>
            </w:pPr>
            <w:r>
              <w:rPr>
                <w:rFonts w:cs="Times New Roman" w:ascii="Times New Roman" w:hAnsi="Times New Roman"/>
                <w:sz w:val="24"/>
                <w:szCs w:val="24"/>
                <w:highlight w:val="green"/>
              </w:rPr>
            </w:r>
          </w:p>
          <w:p>
            <w:pPr>
              <w:pStyle w:val="Normal"/>
              <w:spacing w:lineRule="auto" w:line="240" w:before="0" w:after="0"/>
              <w:rPr>
                <w:rFonts w:ascii="Times New Roman" w:hAnsi="Times New Roman" w:cs="Times New Roman"/>
                <w:sz w:val="24"/>
                <w:szCs w:val="24"/>
                <w:highlight w:val="green"/>
              </w:rPr>
            </w:pPr>
            <w:r>
              <w:rPr>
                <w:rFonts w:cs="Times New Roman" w:ascii="Times New Roman" w:hAnsi="Times New Roman"/>
                <w:sz w:val="24"/>
                <w:szCs w:val="24"/>
                <w:highlight w:val="green"/>
              </w:rPr>
            </w:r>
          </w:p>
        </w:tc>
      </w:tr>
      <w:tr>
        <w:trPr/>
        <w:tc>
          <w:tcPr>
            <w:tcW w:w="150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Содержание и эксплуатация территории</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территории возле жилого дома имеются свалки горючих и иных отходов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Ликвидировать свалку горючих и иных отходов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67, 68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Подъезды к дому загромождены или заставлены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Освободить подъезды к дому</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71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территории возле жилого дома имеется сухая трава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Очистить территорию от сухой травы</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66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Осуществляется пал травы при ветреной погоде</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пал и затушить места горения и тления травы</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66, 70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Осуществляется разведение костра, приготовление пищи на землях общего пользования населенных пунктов, а также на территориях частных домовладений, расположенных на территориях населенных пунктов с использование открытого огня в период наступления аномально жаркой, ветреной погоды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Затушить открытый огонь</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66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Мангал или печь на твердом топливе для приготовления пищи расположены в непосредственной близости от строения или под навесом с деревянным обрешетником</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Располагать мангалы и печи для приготовления пищи вдали от строений или под навесом из несгораемых материалов (полностью металлические навесы)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65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территории жилых домов в противопожарных расстояниях между зданиями, сооружениями и строениями допускается разведение костров и сжигание отходов и тары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Запретить разведение костров, сжигание отходов и тары в противопожарных разрывах</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65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Используются электрические провода и электрическое оборудование без защиты от внешних факторов и погодных условий</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 xml:space="preserve">Прекратить эксплуатацию электрических проводов (оборудования). Выполнить мероприятия по </w:t>
            </w:r>
            <w:r>
              <w:rPr>
                <w:rFonts w:cs="Times New Roman" w:ascii="Times New Roman" w:hAnsi="Times New Roman"/>
                <w:bCs/>
                <w:sz w:val="24"/>
                <w:szCs w:val="24"/>
              </w:rPr>
              <w:t xml:space="preserve">защите от внешних факторов и погодных условий </w:t>
            </w:r>
            <w:r>
              <w:rPr>
                <w:rFonts w:cs="Times New Roman" w:ascii="Times New Roman" w:hAnsi="Times New Roman"/>
                <w:sz w:val="24"/>
                <w:szCs w:val="24"/>
              </w:rPr>
              <w:t>электрических проводов (оборудования)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К жилой зоне, расположенной в лесном массиве, имеется опасность перехода огня при лесных и торфяных пожарах на здания и сооружения</w:t>
            </w:r>
          </w:p>
        </w:tc>
        <w:tc>
          <w:tcPr>
            <w:tcW w:w="4394"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Произвести устройство защитных противопожарных полос и преград</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eastAsia="Calibri" w:cs="Times New Roman" w:ascii="Times New Roman" w:hAnsi="Times New Roman"/>
                <w:spacing w:val="3"/>
                <w:sz w:val="24"/>
                <w:szCs w:val="24"/>
              </w:rPr>
              <w:t xml:space="preserve">п. 70 </w:t>
            </w:r>
            <w:r>
              <w:rPr>
                <w:rFonts w:cs="Times New Roman" w:ascii="Times New Roman" w:hAnsi="Times New Roman"/>
                <w:sz w:val="24"/>
                <w:szCs w:val="24"/>
              </w:rPr>
              <w:t>Правил противопожарного режима</w:t>
            </w:r>
          </w:p>
          <w:p>
            <w:pPr>
              <w:pStyle w:val="Normal"/>
              <w:widowControl w:val="false"/>
              <w:spacing w:lineRule="auto" w:line="240" w:before="0" w:after="0"/>
              <w:jc w:val="center"/>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Допускается использование пиротехнических изделий на территории, не предназначенной для этого</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пиротехнических изделий</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441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 xml:space="preserve">Над местами размещения горючих материалов пролегают неизолированные воздушные линии электропередач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Исключить условия для попадания искр от перехлеста проводов</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15002"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8"/>
                <w:szCs w:val="28"/>
              </w:rPr>
              <w:t>Содержание и эксплуатация ДПИ (при наличии)</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 производится проверка и обслуживание ДПИ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Провести проверку, ремонт или обслуживание ДПИ в соответствии с регламентом и инструкцией производителя</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РД 25 964-90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не установлены автономные дымовые пожарные извещатели.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Произвести установку автономных дымовых пожарных извещателей</w:t>
            </w:r>
          </w:p>
        </w:tc>
        <w:tc>
          <w:tcPr>
            <w:tcW w:w="412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85</w:t>
            </w:r>
            <w:r>
              <w:rPr>
                <w:rFonts w:cs="Times New Roman" w:ascii="Times New Roman" w:hAnsi="Times New Roman"/>
                <w:sz w:val="8"/>
                <w:szCs w:val="8"/>
              </w:rPr>
              <w:t> </w:t>
            </w:r>
            <w:r>
              <w:rPr>
                <w:rFonts w:cs="Times New Roman" w:ascii="Times New Roman" w:hAnsi="Times New Roman"/>
                <w:sz w:val="24"/>
                <w:szCs w:val="24"/>
                <w:vertAlign w:val="superscript"/>
              </w:rPr>
              <w:t>1</w:t>
            </w:r>
            <w:r>
              <w:rPr>
                <w:rFonts w:cs="Times New Roman" w:ascii="Times New Roman" w:hAnsi="Times New Roman"/>
                <w:sz w:val="24"/>
                <w:szCs w:val="24"/>
              </w:rPr>
              <w:t xml:space="preserve"> Правил противопожарного режима </w:t>
            </w:r>
          </w:p>
        </w:tc>
      </w:tr>
    </w:tbl>
    <w:p>
      <w:pPr>
        <w:pStyle w:val="Normal"/>
        <w:spacing w:lineRule="auto" w:line="240" w:before="0" w:after="0"/>
        <w:jc w:val="center"/>
        <w:rPr>
          <w:rFonts w:ascii="Times New Roman" w:hAnsi="Times New Roman" w:cs="Times New Roman"/>
          <w:b/>
          <w:b/>
          <w:sz w:val="28"/>
          <w:szCs w:val="28"/>
        </w:rPr>
      </w:pPr>
      <w:r>
        <w:br w:type="page"/>
      </w:r>
      <w:r>
        <w:rPr>
          <w:rFonts w:cs="Times New Roman" w:ascii="Times New Roman" w:hAnsi="Times New Roman"/>
          <w:b/>
          <w:sz w:val="28"/>
          <w:szCs w:val="28"/>
        </w:rPr>
        <w:t>Лист самообследования жилых помещений на выявление факторов, способствующих возможности возникновения и распространения пожара, в многоквартирном жилом доме этажностью</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до 9 этажей включительно</w:t>
      </w:r>
    </w:p>
    <w:p>
      <w:pPr>
        <w:pStyle w:val="Normal"/>
        <w:spacing w:before="0" w:after="0"/>
        <w:jc w:val="center"/>
        <w:rPr>
          <w:rFonts w:ascii="Times New Roman" w:hAnsi="Times New Roman" w:cs="Times New Roman"/>
          <w:b/>
          <w:b/>
          <w:sz w:val="8"/>
          <w:szCs w:val="8"/>
        </w:rPr>
      </w:pPr>
      <w:r>
        <w:rPr>
          <w:rFonts w:cs="Times New Roman" w:ascii="Times New Roman" w:hAnsi="Times New Roman"/>
          <w:b/>
          <w:sz w:val="8"/>
          <w:szCs w:val="8"/>
        </w:rPr>
      </w:r>
    </w:p>
    <w:tbl>
      <w:tblPr>
        <w:tblW w:w="14889" w:type="dxa"/>
        <w:jc w:val="left"/>
        <w:tblInd w:w="-113" w:type="dxa"/>
        <w:tblCellMar>
          <w:top w:w="0" w:type="dxa"/>
          <w:left w:w="108" w:type="dxa"/>
          <w:bottom w:w="0" w:type="dxa"/>
          <w:right w:w="108" w:type="dxa"/>
        </w:tblCellMar>
      </w:tblPr>
      <w:tblGrid>
        <w:gridCol w:w="6232"/>
        <w:gridCol w:w="4394"/>
        <w:gridCol w:w="4263"/>
      </w:tblGrid>
      <w:tr>
        <w:trPr>
          <w:tblHeader w:val="true"/>
        </w:trPr>
        <w:tc>
          <w:tcPr>
            <w:tcW w:w="623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Наименование фактора, </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способствующего возможности возникновения </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и распространения пожара</w:t>
            </w:r>
          </w:p>
        </w:tc>
        <w:tc>
          <w:tcPr>
            <w:tcW w:w="439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Действия при обнаружении фактора</w:t>
            </w:r>
          </w:p>
        </w:tc>
        <w:tc>
          <w:tcPr>
            <w:tcW w:w="42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Нормативная ссылка</w:t>
            </w:r>
          </w:p>
        </w:tc>
      </w:tr>
      <w:tr>
        <w:trPr/>
        <w:tc>
          <w:tcPr>
            <w:tcW w:w="14889"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8"/>
                <w:szCs w:val="28"/>
              </w:rPr>
              <w:t>Неисправности электрической проводки и электроприборов</w:t>
            </w:r>
          </w:p>
        </w:tc>
      </w:tr>
      <w:tr>
        <w:trPr>
          <w:trHeight w:val="406" w:hRule="atLeast"/>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Эксплуатируется проводка с видимыми повреждениями изоляции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Заменить поврежденные провода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Обесточить помещение, вызвать квалифицированного специалиста. Заменить провода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Эксплуатируются электроприборы, которые: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сильно нагреваются во время работы (за исключением нагревательных электроприборов, чайников, кипятильников и т.п.);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искрят;</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имеют видимые повреждения, либо ощущается посторонний запах, наблюдается эффект нагрева металла, сопровождающийся изменением цвета проводов и клеммных соединений в местах контактов электропроводников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Розетки ненадежно закреплены, имеют следы теплового воздействия (оплавления), горячие на ощупь</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Обесточить помещение, вызвать квалифицированного специалиста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в электроприборах штепсельных вилок с несоответствующим диаметром</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highlight w:val="green"/>
              </w:rPr>
            </w:pPr>
            <w:r>
              <w:rPr>
                <w:rFonts w:cs="Times New Roman" w:ascii="Times New Roman" w:hAnsi="Times New Roman"/>
                <w:sz w:val="24"/>
                <w:szCs w:val="24"/>
              </w:rPr>
              <w:t>п. 35 Правил противопожарного режима</w:t>
            </w:r>
            <w:r>
              <w:rPr>
                <w:rFonts w:cs="Times New Roman" w:ascii="Times New Roman" w:hAnsi="Times New Roman"/>
                <w:sz w:val="24"/>
                <w:szCs w:val="24"/>
                <w:highlight w:val="green"/>
              </w:rPr>
              <w:t xml:space="preserve">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помещении производится сушка белья или одежды на обогревателях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сушку белья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Отопительные приборы расположены в непосредственной близи к другим электроприборам</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Расставить электроприборы и отопительные приборы так, чтобы минимизировать их воздействие друг на друга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неисправного электрооборудования.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самодельного электрооборудования.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В случае подключения мощных энергопотребителей (электрический чайник, тостер, утюг) они используются одновременно</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Прекратить эксплуатацию части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удлинителей</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Неиспользуемые электроприборы не отключены от сети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Отключить неиспользуемые электроприборы от сети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Эксплуатируются нестандартные (самодельные) отопительные, нагревательные и иные электроприборы</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данных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Установить соответствующие предохранители или заменить на автоматические выключатели </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Оборудовать светильники колпаками, исключить использование горючих материалов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Используются нестандартные (самодельные) электрические электронагревательные приборы и удлинители для питания электроприборов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 заменить на оборудование заводской готовности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Выполнить монтаж по не горючему основанию или на изоляторах</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Эксплуатация электропроводки и электроприборов без аппаратов защиты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rHeight w:val="922" w:hRule="atLeast"/>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Убрать от электрооборудования горючие, легковоспламеняющиеся вещества и материалы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Светильники с лампами накаливания установлены на небезопасном расстоянии от горючих материалов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приборы освещения на безопасное расстояние от горючих материалов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электронагревательных приборов (ТЭНы, радиаторы, пушки, ветродуи и т.п.) в непосредственной близости с легкогорючими материалами (хлопчатобумажные изделия, полимерные материалы и т.д.)</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23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23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Поменять лампу накаливания на лампу меньшей мощности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32"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32" w:before="0" w:after="0"/>
              <w:jc w:val="center"/>
              <w:rPr>
                <w:rFonts w:ascii="Times New Roman" w:hAnsi="Times New Roman" w:cs="Times New Roman"/>
                <w:sz w:val="24"/>
                <w:szCs w:val="24"/>
              </w:rPr>
            </w:pPr>
            <w:r>
              <w:rPr>
                <w:rFonts w:cs="Times New Roman" w:ascii="Times New Roman" w:hAnsi="Times New Roman"/>
                <w:sz w:val="24"/>
                <w:szCs w:val="24"/>
              </w:rPr>
              <w:t>ГОСТ МЭК 62619-2020 «Аккумуляторы и аккумуляторные батарей, содержание щелочной или другие некислотные электролиты»</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Электрокипятильники погружные используются без воды в емкости, либо когда уровень воды ниже нижней риски данного кипятильника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электрокипятильника, долить воды до необходимой отметки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32" w:before="0" w:after="0"/>
              <w:jc w:val="center"/>
              <w:rPr>
                <w:rFonts w:ascii="Times New Roman" w:hAnsi="Times New Roman" w:cs="Times New Roman"/>
                <w:sz w:val="24"/>
                <w:szCs w:val="24"/>
              </w:rPr>
            </w:pPr>
            <w:r>
              <w:rPr>
                <w:rFonts w:cs="Times New Roman" w:ascii="Times New Roman" w:hAnsi="Times New Roman"/>
                <w:sz w:val="24"/>
                <w:szCs w:val="24"/>
              </w:rPr>
              <w:t>ГОСТ 14705-83 «Электрокипятильники погружные. Общие технические условия»</w:t>
            </w:r>
          </w:p>
        </w:tc>
      </w:tr>
      <w:tr>
        <w:trPr/>
        <w:tc>
          <w:tcPr>
            <w:tcW w:w="6232" w:type="dxa"/>
            <w:tcBorders>
              <w:top w:val="single" w:sz="4" w:space="0" w:color="000000"/>
              <w:left w:val="single" w:sz="4" w:space="0" w:color="000000"/>
              <w:bottom w:val="single" w:sz="4" w:space="0" w:color="000000"/>
            </w:tcBorders>
            <w:shd w:fill="auto" w:val="clear"/>
          </w:tcPr>
          <w:p>
            <w:pPr>
              <w:pStyle w:val="Normal"/>
              <w:widowControl w:val="false"/>
              <w:spacing w:lineRule="auto" w:line="232"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Допускается прокладка и эксплуатация воздушных линий электропередачи (в том числе временных и проложенных кабелем) над горючими кровлями, навесами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Осуществлять прокладку кабельных линий только над негорючими кровлями, навесами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32" w:before="0" w:after="0"/>
              <w:jc w:val="center"/>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Правила устройства электроустановок</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Электроприборы и электрические сети расположены вблизи с «мокрыми зонами» помещения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Расставить электроприборы на удалении от «мокрой зоны», переместить электрические сети из мокрой зоны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32"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Подключение и подача электроэнергии самостоятельно без прибора учета и автомата защиты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Произвести подключение электросети через приборы учета электроэнергии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32" w:before="0" w:after="0"/>
              <w:jc w:val="center"/>
              <w:rPr>
                <w:rFonts w:ascii="Times New Roman" w:hAnsi="Times New Roman" w:cs="Times New Roman"/>
                <w:sz w:val="24"/>
                <w:szCs w:val="24"/>
                <w:highlight w:val="green"/>
              </w:rPr>
            </w:pPr>
            <w:r>
              <w:rPr>
                <w:rFonts w:cs="Times New Roman" w:ascii="Times New Roman" w:hAnsi="Times New Roman"/>
                <w:sz w:val="24"/>
                <w:szCs w:val="24"/>
              </w:rPr>
              <w:t>Правила устройства электроустановок</w:t>
            </w:r>
          </w:p>
        </w:tc>
      </w:tr>
      <w:tr>
        <w:trPr>
          <w:trHeight w:val="573" w:hRule="atLeast"/>
        </w:trPr>
        <w:tc>
          <w:tcPr>
            <w:tcW w:w="6232" w:type="dxa"/>
            <w:tcBorders>
              <w:top w:val="single" w:sz="4" w:space="0" w:color="000000"/>
              <w:left w:val="single" w:sz="4" w:space="0" w:color="000000"/>
              <w:bottom w:val="single" w:sz="4" w:space="0" w:color="000000"/>
            </w:tcBorders>
            <w:shd w:fill="auto" w:val="clear"/>
          </w:tcPr>
          <w:p>
            <w:pPr>
              <w:pStyle w:val="Normal"/>
              <w:spacing w:lineRule="auto" w:line="232" w:before="0" w:after="0"/>
              <w:rPr>
                <w:rFonts w:ascii="Times New Roman" w:hAnsi="Times New Roman" w:cs="Times New Roman"/>
                <w:sz w:val="24"/>
                <w:szCs w:val="24"/>
              </w:rPr>
            </w:pPr>
            <w:r>
              <w:rPr>
                <w:rFonts w:cs="Times New Roman" w:ascii="Times New Roman" w:hAnsi="Times New Roman"/>
                <w:sz w:val="24"/>
                <w:szCs w:val="24"/>
              </w:rPr>
              <w:t xml:space="preserve">Радиусы внутренней и наружной кривой изгиба кабелей составляет 90 градусов и менее </w:t>
            </w:r>
          </w:p>
          <w:p>
            <w:pPr>
              <w:pStyle w:val="Normal"/>
              <w:spacing w:lineRule="auto" w:line="232" w:before="0" w:after="0"/>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jc w:val="both"/>
              <w:rPr>
                <w:rFonts w:ascii="Times New Roman" w:hAnsi="Times New Roman" w:cs="Times New Roman"/>
                <w:sz w:val="24"/>
                <w:szCs w:val="24"/>
              </w:rPr>
            </w:pPr>
            <w:r>
              <w:rPr>
                <w:rFonts w:cs="Times New Roman" w:ascii="Times New Roman" w:hAnsi="Times New Roman"/>
                <w:sz w:val="24"/>
                <w:szCs w:val="24"/>
              </w:rPr>
              <w:t>Устранить острый или прямой угол перегиба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32" w:before="0" w:after="0"/>
              <w:jc w:val="center"/>
              <w:rPr>
                <w:rFonts w:ascii="Times New Roman" w:hAnsi="Times New Roman" w:cs="Times New Roman"/>
                <w:sz w:val="24"/>
                <w:szCs w:val="24"/>
                <w:highlight w:val="green"/>
              </w:rPr>
            </w:pPr>
            <w:r>
              <w:rPr>
                <w:rFonts w:cs="Times New Roman" w:ascii="Times New Roman" w:hAnsi="Times New Roman"/>
                <w:sz w:val="24"/>
                <w:szCs w:val="24"/>
              </w:rPr>
              <w:t>Правила устройства электроустановок</w:t>
            </w:r>
          </w:p>
        </w:tc>
      </w:tr>
      <w:tr>
        <w:trPr/>
        <w:tc>
          <w:tcPr>
            <w:tcW w:w="14889"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32" w:before="0" w:after="0"/>
              <w:jc w:val="center"/>
              <w:rPr>
                <w:rFonts w:ascii="Times New Roman" w:hAnsi="Times New Roman" w:cs="Times New Roman"/>
                <w:b/>
                <w:b/>
                <w:sz w:val="28"/>
                <w:szCs w:val="28"/>
              </w:rPr>
            </w:pPr>
            <w:r>
              <w:rPr>
                <w:rFonts w:cs="Times New Roman" w:ascii="Times New Roman" w:hAnsi="Times New Roman"/>
                <w:b/>
                <w:sz w:val="28"/>
                <w:szCs w:val="28"/>
              </w:rPr>
              <w:t>Неисправности газового оборудования</w:t>
            </w:r>
          </w:p>
        </w:tc>
      </w:tr>
      <w:tr>
        <w:trPr/>
        <w:tc>
          <w:tcPr>
            <w:tcW w:w="14889"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32" w:before="0" w:after="0"/>
              <w:jc w:val="center"/>
              <w:rPr>
                <w:rFonts w:ascii="Times New Roman" w:hAnsi="Times New Roman" w:cs="Times New Roman"/>
                <w:b/>
                <w:b/>
                <w:sz w:val="28"/>
                <w:szCs w:val="28"/>
              </w:rPr>
            </w:pPr>
            <w:r>
              <w:rPr>
                <w:rFonts w:cs="Times New Roman" w:ascii="Times New Roman" w:hAnsi="Times New Roman"/>
                <w:b/>
                <w:sz w:val="28"/>
                <w:szCs w:val="28"/>
              </w:rPr>
              <w:t>Газовые плиты и газовое оборудование (при наличии)</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32" w:before="0" w:after="0"/>
              <w:rPr>
                <w:rFonts w:ascii="Times New Roman" w:hAnsi="Times New Roman" w:cs="Times New Roman"/>
                <w:sz w:val="24"/>
                <w:szCs w:val="24"/>
              </w:rPr>
            </w:pPr>
            <w:r>
              <w:rPr>
                <w:rFonts w:cs="Times New Roman" w:ascii="Times New Roman" w:hAnsi="Times New Roman"/>
                <w:sz w:val="24"/>
                <w:szCs w:val="24"/>
              </w:rPr>
              <w:t>Перед использованием газового оборудования помещение не проветрено, а форточка не открыта (заложена)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32"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газового оборудования, проветрить помещение, открыть форточку, организовать постоянное проветривание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32" w:before="0" w:after="0"/>
              <w:jc w:val="center"/>
              <w:rPr>
                <w:rFonts w:ascii="Times New Roman" w:hAnsi="Times New Roman" w:cs="Times New Roman"/>
                <w:sz w:val="24"/>
                <w:szCs w:val="24"/>
              </w:rPr>
            </w:pPr>
            <w:r>
              <w:rPr>
                <w:rFonts w:cs="Times New Roman" w:ascii="Times New Roman" w:hAnsi="Times New Roman"/>
                <w:sz w:val="24"/>
                <w:szCs w:val="24"/>
              </w:rPr>
              <w:t xml:space="preserve">п. 41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Отсутствие тяги в вытяжной системе газового оборудования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 помощью квалифицированного специалиста, устранить неисправность в вытяжной системе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40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Вблизи работающей плиты расположены легковоспламеняющиеся материалы и жидкости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Допускается эксплуатация неисправных газовых приборов, а также газового оборудования, не прошедшего техническое обслуживание</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использование газовых приборов, вызвать специалиста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Осуществляется самостоятельное присоединение деталей газовой арматуры, в том числе с помощью искрообразующего инструмента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Вызвать специалиста.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Исключить применение искрообразующего инструмента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87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Допускается износ или применение несоответствующего типа прокладок соединений газового оборудования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Своевременная замена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 40 Правил противопожарного режима;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ГОСТ 52209-2004 «Соединения газовых горелок и аппаратов»</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Ощущается запах газа в помещении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 обнаружении запаха газа надо:</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при входе в загазованное помещение выбросить из карманов спички, зажигалки, чтобы машинально их не зажечь;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закрыть кран газопровода, проветрить кухню (помещения);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отключить электричество в (помещении) доме, парадной;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отключить все телефоны, так как они "искрят"»</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эвакуировать жильцов;</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срочно вызвать аварийную газовую службу.</w:t>
            </w:r>
          </w:p>
          <w:p>
            <w:pPr>
              <w:pStyle w:val="Normal"/>
              <w:spacing w:lineRule="auto" w:line="240" w:before="0" w:after="0"/>
              <w:jc w:val="both"/>
              <w:rPr/>
            </w:pPr>
            <w:r>
              <w:rPr>
                <w:rFonts w:cs="Times New Roman" w:ascii="Times New Roman" w:hAnsi="Times New Roman"/>
                <w:sz w:val="24"/>
                <w:szCs w:val="24"/>
              </w:rPr>
              <w:t>Категорические запрещается использовать любые предметы,</w:t>
              <w:br/>
              <w:t>при эксплуатации которых возможно образование искр. Организовать проветривание помещений путем открытия оконных</w:t>
              <w:br/>
              <w:t>и дверных проемов для снижения концентрации газа в помещениях.</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Немедленно прекратить эксплуатацию газовых приборов, перекрыть подачу газа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87 Правил противопожарного режима;</w:t>
            </w:r>
          </w:p>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от 5 декабря 2017 г. №1614/пр</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 без присмотра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Установить (разместить) мебель</w:t>
              <w:br/>
              <w:t>и другие горючие предметы и материалы на требуемое расстояние от газового оборудования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40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Газовые отопительные приборы подключены к воздуховодам и используются для удаления продуктов горения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Прекратить эксплуатацию газовых приборов, подключенных к воздуховодам </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41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Сработало оповещение (звуковое оповещение) сигнализатора загазованности в помещении (ях) объекта, где используется газовое оборудование.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Отсутствует сигнализатор загазованности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сигнализатор загазованности при его отсутствии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Правило обязательно для исполнения только собственникам жилых помещений, в которых по техническим характеристикам предусмотрено устанавливать на газовое оборудование датчики загазованности</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Помещение с работающими газовыми приборами используются для сна</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sz w:val="24"/>
                <w:szCs w:val="24"/>
                <w:highlight w:val="yellow"/>
              </w:rPr>
            </w:pPr>
            <w:r>
              <w:rPr>
                <w:rFonts w:cs="Times New Roman" w:ascii="Times New Roman" w:hAnsi="Times New Roman"/>
                <w:bCs/>
                <w:sz w:val="24"/>
                <w:szCs w:val="24"/>
              </w:rPr>
              <w:t>от 5 декабря 2017 г. №1614/пр</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Газовые бытовые плиты используются для обогрева помещения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от 5 декабря 2017 г. №1614/пр</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Резинотканевый рукав (шланг) имеет видимых следы повреждений, либо перекручен или согнут</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газовых приборов. Устранить повреждения, проверить их герметичность, вызвать специальную службу.</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Cs/>
                <w:sz w:val="24"/>
                <w:szCs w:val="24"/>
              </w:rPr>
              <w:t>от 5 декабря 2017 г. №1614/пр</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Газовые плиты применяются для сушки белья и одежды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сушку белья над газовыми плитами и вблизи нее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от 5 декабря 2017 г. №1614/пр</w:t>
            </w:r>
          </w:p>
        </w:tc>
      </w:tr>
      <w:tr>
        <w:trPr>
          <w:trHeight w:val="1066" w:hRule="atLeast"/>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Применять газовые шланги не проводящие электрический ток, либо установить диэлектрическую вставку</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СП42-101-2003</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Газовая плита с электророзжигом подключена к розетке без заземления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Отключить плиту от розетки и проверить контур заземления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2.04.08-87 «Газоснабжение»</w:t>
            </w:r>
          </w:p>
        </w:tc>
      </w:tr>
      <w:tr>
        <w:trPr>
          <w:trHeight w:val="872" w:hRule="atLeast"/>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Ручка крана конфорок</w:t>
            </w:r>
            <w:r>
              <w:rPr>
                <w:rFonts w:cs="Times New Roman" w:ascii="Times New Roman" w:hAnsi="Times New Roman"/>
                <w:bCs/>
                <w:sz w:val="24"/>
                <w:szCs w:val="24"/>
              </w:rPr>
              <w:t xml:space="preserve"> стола, духового шкафа крутятся с усилием либо </w:t>
            </w:r>
            <w:r>
              <w:rPr>
                <w:rFonts w:cs="Times New Roman" w:ascii="Times New Roman" w:hAnsi="Times New Roman"/>
                <w:sz w:val="24"/>
                <w:szCs w:val="24"/>
              </w:rPr>
              <w:t>электроподжиг конфорок на искру срабатывает не с первого раза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Провести обслуживание газовой плиты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 xml:space="preserve">Приказ </w:t>
            </w:r>
            <w:r>
              <w:rPr>
                <w:rFonts w:cs="Times New Roman" w:ascii="Times New Roman" w:hAnsi="Times New Roman"/>
                <w:bCs/>
                <w:sz w:val="24"/>
                <w:szCs w:val="24"/>
              </w:rPr>
              <w:t>Минстроя России</w:t>
            </w:r>
          </w:p>
          <w:p>
            <w:pPr>
              <w:pStyle w:val="Normal"/>
              <w:spacing w:lineRule="auto" w:line="240" w:before="0" w:after="0"/>
              <w:jc w:val="center"/>
              <w:rPr>
                <w:rFonts w:ascii="Times New Roman" w:hAnsi="Times New Roman" w:cs="Times New Roman"/>
                <w:bCs/>
                <w:sz w:val="24"/>
                <w:szCs w:val="24"/>
              </w:rPr>
            </w:pPr>
            <w:r>
              <w:rPr>
                <w:rFonts w:cs="Times New Roman" w:ascii="Times New Roman" w:hAnsi="Times New Roman"/>
                <w:bCs/>
                <w:sz w:val="24"/>
                <w:szCs w:val="24"/>
              </w:rPr>
              <w:t>от 5 декабря 2017 г. №1614/пр</w:t>
            </w:r>
          </w:p>
        </w:tc>
      </w:tr>
      <w:tr>
        <w:trPr/>
        <w:tc>
          <w:tcPr>
            <w:tcW w:w="14889"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Неисправности путей эвакуации</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Ликвидировать места хранения легковоспламеняющихся, горючих или взрывчатых вещества, на чердаках, цокольных этажах и в подвалах</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16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лестничных клетках, в поэтажных коридорах, под лестничными маршами присутствует скопление вещей, мебели и других предметов, выполненных из горючих материалов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Освободить лестничные клетки, поэтажные коридоры, под лестничные марши от скопления вещей</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16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 (устранить самовольную их блокировку путем заваривания)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Балконы, лоджии и галереи, которые ведут к незадымляемым лестничным клеткам, остеклены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остекление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Проходы через общеквартирные тамбуры на этаже перекрыты самовольно установленными дверями с запорными устройствами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16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Двери межквартирных коридоров и лестничных клеток на путях эвакуации запираются изнутри на ключ</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Запоры (замки) на дверях эвакуационных выходов обеспечить возможностью их свободного открывания изнутри без ключа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24 Правил противопожарного режима </w:t>
            </w:r>
          </w:p>
        </w:tc>
      </w:tr>
      <w:tr>
        <w:trPr/>
        <w:tc>
          <w:tcPr>
            <w:tcW w:w="6232" w:type="dxa"/>
            <w:tcBorders>
              <w:top w:val="single" w:sz="4" w:space="0" w:color="000000"/>
              <w:left w:val="single" w:sz="4" w:space="0" w:color="000000"/>
              <w:bottom w:val="single" w:sz="4" w:space="0" w:color="000000"/>
            </w:tcBorders>
            <w:shd w:fill="auto" w:val="clear"/>
          </w:tcPr>
          <w:p>
            <w:pPr>
              <w:pStyle w:val="Normal"/>
              <w:autoSpaceDE w:val="false"/>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В прихожей квартиры отсутствуют тепловые пожарные извещатели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Осуществить установку тепловых пожарных извещателей</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Если требуется установка СОУЭ</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 3.13130.2009</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также устройство дополнительных тамбуров</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Обеспечить выполнение утвержденных проектных решений, проверить свободное открывание дверей на одной секции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27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Системы противопожарной защиты не обслуживаются организацией, имеющие специальное разрешение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Организовать обслуживание систем противопожарной защиты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54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Имеется эксплуатация средств обеспечения пожарной безопасности и пожаротушения сверх срока службы, установленного изготовителем (поставщиком)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Обеспечивать ежегодное проведение испытаний средств обеспечения пожарной безопасности и пожаротушения или заменить в установленном порядке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54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Cs/>
                <w:sz w:val="24"/>
                <w:szCs w:val="24"/>
              </w:rPr>
              <w:t>Клапана системы дымоудаления открыты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54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Cs/>
                <w:sz w:val="24"/>
                <w:szCs w:val="24"/>
              </w:rPr>
              <w:t>Провода, идущие к пожарным извещателям, оборваны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54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autoSpaceDE w:val="false"/>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В шкафах пожарных кранов отсутствуют пожарные рукава, стволы, вентили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Федеральный закон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от 22.07.2008 №123-ФЗ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«Технический регламент</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 требованиях пожарной безопасности»</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232"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Не работает система пожарной сигнализации *</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sz w:val="24"/>
                <w:szCs w:val="24"/>
              </w:rPr>
            </w:pPr>
            <w:r>
              <w:rPr>
                <w:rFonts w:cs="Times New Roman" w:ascii="Times New Roman" w:hAnsi="Times New Roman"/>
                <w:sz w:val="24"/>
                <w:szCs w:val="24"/>
              </w:rPr>
              <w:t>Соблюдать периодичность плановых и внеплановых проверок СПС в соответствии с регламентами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Обязательное при наличии системы СПС (п. 54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 производится проверка и обслуживание ДПИ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Провести проверку, ремонт или обслуживание ДПИ в соответствии с регламентом и инструкцией производителя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РД 25 964-90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pacing w:val="3"/>
                <w:sz w:val="24"/>
              </w:rPr>
              <w:t>Установлены решетки на окнах и приямках у окон подвалов, являющихся аварийными выходами</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pacing w:val="3"/>
                <w:sz w:val="24"/>
              </w:rPr>
              <w:t>Демонтировать решетки, препятствующие аварийному выходу</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pacing w:val="3"/>
                <w:sz w:val="24"/>
              </w:rPr>
            </w:pPr>
            <w:r>
              <w:rPr>
                <w:rFonts w:cs="Times New Roman" w:ascii="Times New Roman" w:hAnsi="Times New Roman"/>
                <w:spacing w:val="3"/>
                <w:sz w:val="24"/>
              </w:rPr>
              <w:t>Изменена планировка и размещение инженерных коммуникаций, тем самым ограничивает доступ к огнетушителям, пожарным кранам и другим средствам пожаротушения</w:t>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pacing w:val="3"/>
                <w:sz w:val="24"/>
              </w:rPr>
              <w:t>Вернуть планировку и размещение коммуникаций согласно плану проекта дома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232" w:type="dxa"/>
            <w:tcBorders>
              <w:top w:val="single" w:sz="4" w:space="0" w:color="000000"/>
              <w:left w:val="single" w:sz="4" w:space="0" w:color="000000"/>
              <w:bottom w:val="single" w:sz="4" w:space="0" w:color="000000"/>
            </w:tcBorders>
            <w:shd w:fill="auto" w:val="clear"/>
          </w:tcPr>
          <w:p>
            <w:pPr>
              <w:pStyle w:val="Normal"/>
              <w:widowControl w:val="false"/>
              <w:autoSpaceDE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Световые проемы лестничных клеток заколочены или не имеют фрамуг с устройствами открывания (сплошное остекление, ручки открывания сняты) *</w:t>
            </w:r>
            <w:r>
              <w:rPr>
                <w:rStyle w:val="Style24"/>
                <w:rFonts w:cs="Times New Roman" w:ascii="Times New Roman" w:hAnsi="Times New Roman"/>
                <w:sz w:val="24"/>
                <w:szCs w:val="24"/>
                <w:vertAlign w:val="superscript"/>
              </w:rPr>
              <w:footnoteReference w:id="2"/>
            </w:r>
          </w:p>
        </w:tc>
        <w:tc>
          <w:tcPr>
            <w:tcW w:w="439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Световой проем освободить, заменить сплошное остекление на фрамугу, восстановить ручки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bl>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r>
        <w:br w:type="page"/>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Лист самообследования жилых помещений на выявление факторов, способствующих возможности возникновения и распространения пожара, в многоквартирном жилом доме этажностью свыше 10 этажей</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bl>
      <w:tblPr>
        <w:tblW w:w="15173" w:type="dxa"/>
        <w:jc w:val="left"/>
        <w:tblInd w:w="-113" w:type="dxa"/>
        <w:tblCellMar>
          <w:top w:w="0" w:type="dxa"/>
          <w:left w:w="108" w:type="dxa"/>
          <w:bottom w:w="0" w:type="dxa"/>
          <w:right w:w="108" w:type="dxa"/>
        </w:tblCellMar>
      </w:tblPr>
      <w:tblGrid>
        <w:gridCol w:w="6487"/>
        <w:gridCol w:w="4423"/>
        <w:gridCol w:w="4263"/>
      </w:tblGrid>
      <w:tr>
        <w:trPr>
          <w:tblHeader w:val="true"/>
        </w:trPr>
        <w:tc>
          <w:tcPr>
            <w:tcW w:w="648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Наименование фактора, </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способствующего возможности возникновения </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и распространения пожара</w:t>
            </w:r>
          </w:p>
        </w:tc>
        <w:tc>
          <w:tcPr>
            <w:tcW w:w="442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Действия при обнаружении фактора</w:t>
            </w:r>
          </w:p>
        </w:tc>
        <w:tc>
          <w:tcPr>
            <w:tcW w:w="426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Нормативная ссылка</w:t>
            </w:r>
          </w:p>
        </w:tc>
      </w:tr>
      <w:tr>
        <w:trPr/>
        <w:tc>
          <w:tcPr>
            <w:tcW w:w="1517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8"/>
                <w:szCs w:val="28"/>
              </w:rPr>
              <w:t>Неисправности электрической проводки и электроприборов</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Эксплуатируется проводка с видимыми повреждениями изоляции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Заменить поврежденные провода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Обесточить помещение, вызвать квалифицированного специалиста. Заменить провода.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Эксплуатируются электроприборы, которые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сильно нагреваются во время работы (за исключением нагревательных электроприборов, чайников, кипятильников и т.п.)</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искрят</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имеют видимые повреждения, либо ощущается посторонний запах, наблюдается эффект нагрева металла, сопровождающийся изменением цвета проводов и клеммных соединений в местах контактов электропроводников</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Розетки ненадежно закреплены, имеют следы теплового воздействия (оплавления), горячие на ощупь</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Обесточить помещение, вызвать квалифицированного специалиста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в электроприборах штепсельных вилок с несоответствующим диаметром</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highlight w:val="green"/>
              </w:rPr>
            </w:pPr>
            <w:r>
              <w:rPr>
                <w:rFonts w:cs="Times New Roman" w:ascii="Times New Roman" w:hAnsi="Times New Roman"/>
                <w:sz w:val="24"/>
                <w:szCs w:val="24"/>
              </w:rPr>
              <w:t>п. 35 Правил противопожарного режима</w:t>
            </w:r>
            <w:r>
              <w:rPr>
                <w:rFonts w:cs="Times New Roman" w:ascii="Times New Roman" w:hAnsi="Times New Roman"/>
                <w:sz w:val="24"/>
                <w:szCs w:val="24"/>
                <w:highlight w:val="green"/>
              </w:rPr>
              <w:t xml:space="preserve">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помещении производится сушка белья или одежды на обогревателях</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сушку белья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Отопительные приборы расположены в непосредственной близи к другим электроприборам</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Расставить электроприборы и отопительные приборы так, чтобы минимизировать их воздействие друг на друга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Электрические утюги, электрические плитки, электрические чайники и другие электронагревательные приборы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неисправного электрооборудования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п.35 Правил противопожарного режима </w:t>
            </w:r>
          </w:p>
        </w:tc>
      </w:tr>
      <w:tr>
        <w:trPr>
          <w:trHeight w:val="1408"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используются с неисправностями или отсутствием устройств тепловой защиты и терморегуляторов</w:t>
            </w:r>
          </w:p>
        </w:tc>
        <w:tc>
          <w:tcPr>
            <w:tcW w:w="4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самодельного электрооборудования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В случае подключения мощных энергопотребителей (электрический чайник, тостер, утюг) они используются одновременно</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rPr>
                <w:rFonts w:cs="Times New Roman" w:ascii="Times New Roman" w:hAnsi="Times New Roman"/>
                <w:sz w:val="24"/>
                <w:szCs w:val="24"/>
              </w:rPr>
              <w:t>Прекратить эксплуатацию части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удлинителей</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Неиспользуемые электроприборы не отключены от сети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Отключить неиспользуемые электроприборы от сети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Эксплуатируются нестандартные (самодельные) отопительные, нагревательные и иные электроприборы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Прекратить эксплуатацию данных электроприборов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соответствующие предохранители или заменить на автоматические выключатели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Оборудовать светильники колпаками, исключить использование горючих материалов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 электроприборов, заменить на оборудование заводской готовности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Выполнить монтаж по не горючему основанию или на изоляторах</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35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Эксплуатация электропроводки и электроприборов без аппаратов защиты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эксплуатацию</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rHeight w:val="1056"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Убрать от электрооборудования горючие, легковоспламеняющиеся вещества и материалы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Светильники с лампами накаливания установлены на небезопасном расстоянии от горючих материалов</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Установить приборы освещения на безопасное расстояние от горючих материалов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35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электронагревательных приборов (ТЭНы, радиаторы, пушки, ветродуи и т.п.) в непосредственной близости с легкогорючими материалами (хлопчатобумажные изделия, полимерные материалы и т.д.)</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Поменять лампу накаливания на лампу меньшей мощности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 </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ГОСТ МЭК 62619-2020 «Аккумуляторы и аккумуляторные батарей, содержание щелочной или другие некислотные электролиты»</w:t>
            </w:r>
          </w:p>
        </w:tc>
      </w:tr>
      <w:tr>
        <w:trPr>
          <w:trHeight w:val="1028"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Электрокипятильники погружные используются без воды в емкости, либо когда уровень воды ниже нижней риски данного кипятильника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Прекратить использование электрокипятильника, долить воды до необходимой отметки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ГОСТ 14705-83 «Электрокипятильники погружные. Общие технические условия»</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Электроприборы и электрические сети расположены вблизи с «мокрыми зонами» помещения</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Расставить электроприборы на удалении от «мокрой зоны», переместить электрические сети из мокрой зоны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Подключение и  подача электроэнергии самостоятельно без прибора учета и автомата защиты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Произвести подключение электросети через приборы учета электроэнергии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highlight w:val="green"/>
              </w:rPr>
            </w:pPr>
            <w:r>
              <w:rPr>
                <w:rFonts w:cs="Times New Roman" w:ascii="Times New Roman" w:hAnsi="Times New Roman"/>
                <w:sz w:val="24"/>
                <w:szCs w:val="24"/>
              </w:rPr>
              <w:t>Правила устройства электроустановок</w:t>
            </w:r>
          </w:p>
        </w:tc>
      </w:tr>
      <w:tr>
        <w:trPr>
          <w:trHeight w:val="485" w:hRule="atLeast"/>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Радиусы внутренней и наружной кривой изгиба кабелей составляет 90 градусов и менее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острый или прямой угол перегиба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Правила устройства электроустановок</w:t>
            </w:r>
          </w:p>
        </w:tc>
      </w:tr>
      <w:tr>
        <w:trPr/>
        <w:tc>
          <w:tcPr>
            <w:tcW w:w="1517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7"/>
                <w:szCs w:val="27"/>
              </w:rPr>
              <w:t>Неисправности путей эвакуации и СПС</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Ликвидировать места хранения легковоспламеняющихся, горючих или взрывчатых вещества, на чердаках, цокольных этажах и в подвалах</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16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лестничных клетках, в поэтажных коридорах, под лестничными маршами присутствует скопление вещей, мебели и других предметов, выполненных из горючих материалов</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Освободить лестничные клетки, поэтажные коридоры, под лестничные марши от скопления вещей</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16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16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Балконы, лоджии и галереи, которые ведут к незадымляемым лестничным клеткам, остеклены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остекление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Проходы через общеквартирные тамбуры на этаже перекрыты самовольно установленными дверями с запорными устройствами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Двери межквартирных коридоров и лестничных клеток на путях эвакуации запираются изнутри на ключ</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Запоры (замки) на дверях эвакуационных выходов обеспечить возможностью их свободного открывания изнутри без ключа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24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autoSpaceDE w:val="false"/>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В прихожей квартиры отсутствуют (либо демонтированы) тепловые пожарные извещатели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Осуществить установку тепловых пожарных извещателей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 3.13130.2009</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 же устройство дополнительных тамбуров.</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Обеспечить выполнение утвержденных проектных решений, проверить свободное открывание дверей на одной секции.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27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Системы противопожарной защиты не обслуживаются организацией, имеющей специальное разрешение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Организовать обслуживание систем противопожарной защиты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54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Имеется эксплуатация средств обеспечения пожарной безопасности и пожаротушения сверх срока службы, установленного изготовителем (поставщиком)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Обеспечивать ежегодное проведение испытаний средств обеспечения пожарной безопасности и пожаротушения или заменить в установленном порядке.</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54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Cs/>
                <w:sz w:val="24"/>
                <w:szCs w:val="24"/>
              </w:rPr>
              <w:t>Клапаны системы дымоудаления открыты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54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Cs/>
                <w:sz w:val="24"/>
                <w:szCs w:val="24"/>
              </w:rPr>
              <w:t>Провода, идущие к пожарным извещателям, оборваны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54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autoSpaceDE w:val="false"/>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В шкафах пожарных кранов отсутствуют пожарные рукава, стволы, вентили либо доступ к пожарным шкафам затруднен*</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Федеральный закон от 22.07.2008 №123-ФЗ «Технический регламент о требованиях пожарной безопасности»</w:t>
            </w:r>
          </w:p>
        </w:tc>
      </w:tr>
      <w:tr>
        <w:trPr/>
        <w:tc>
          <w:tcPr>
            <w:tcW w:w="6487" w:type="dxa"/>
            <w:tcBorders>
              <w:top w:val="single" w:sz="4" w:space="0" w:color="000000"/>
              <w:left w:val="single" w:sz="4" w:space="0" w:color="000000"/>
              <w:bottom w:val="single" w:sz="4" w:space="0" w:color="000000"/>
            </w:tcBorders>
            <w:shd w:fill="auto" w:val="clear"/>
          </w:tcPr>
          <w:p>
            <w:pPr>
              <w:pStyle w:val="Normal"/>
              <w:widowControl w:val="false"/>
              <w:spacing w:lineRule="auto" w:line="240" w:before="0" w:after="0"/>
              <w:jc w:val="both"/>
              <w:rPr>
                <w:rFonts w:ascii="Times New Roman" w:hAnsi="Times New Roman" w:eastAsia="Calibri" w:cs="Times New Roman"/>
                <w:spacing w:val="3"/>
                <w:sz w:val="24"/>
                <w:szCs w:val="24"/>
              </w:rPr>
            </w:pPr>
            <w:r>
              <w:rPr>
                <w:rFonts w:eastAsia="Calibri" w:cs="Times New Roman" w:ascii="Times New Roman" w:hAnsi="Times New Roman"/>
                <w:spacing w:val="3"/>
                <w:sz w:val="24"/>
                <w:szCs w:val="24"/>
              </w:rPr>
              <w:t>Не работает система пожарной сигнализации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sz w:val="24"/>
                <w:szCs w:val="24"/>
              </w:rPr>
            </w:pPr>
            <w:r>
              <w:rPr>
                <w:rFonts w:cs="Times New Roman" w:ascii="Times New Roman" w:hAnsi="Times New Roman"/>
                <w:sz w:val="24"/>
                <w:szCs w:val="24"/>
              </w:rPr>
              <w:t>Соблюдать периодичность плановых и внеплановых проверок СПС в соответствии с регламентами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Обязательное при наличии системы СПС</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54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widowControl w:val="false"/>
              <w:autoSpaceDE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Световые проемы лестничных клеток заколочены или не имеют фрамуг с устройствами открывания (сплошное остекление, ручки открывания сняты)</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Световой проем освободить, заменить сплошное остекление на фрамугу, восстановить ручки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highlight w:val="green"/>
              </w:rPr>
            </w:pPr>
            <w:r>
              <w:rPr>
                <w:rFonts w:cs="Times New Roman" w:ascii="Times New Roman" w:hAnsi="Times New Roman"/>
                <w:sz w:val="24"/>
                <w:szCs w:val="24"/>
              </w:rPr>
              <w:t>п. 16 Правил противопожарного режима</w:t>
            </w:r>
            <w:r>
              <w:rPr>
                <w:rFonts w:cs="Times New Roman" w:ascii="Times New Roman" w:hAnsi="Times New Roman"/>
                <w:sz w:val="24"/>
                <w:szCs w:val="24"/>
                <w:highlight w:val="green"/>
              </w:rPr>
              <w:t xml:space="preserve">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Пожарные извещатели закрыты защитными колпачками или иными предметами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Снять защитные колпачки, убрать предметы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 54 Правил противопожарного режима;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(далее – СП 484.1311500.2020)</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Пожарные извещатели находятся под подвесным (натяжным) потолком</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Обратиться </w:t>
            </w:r>
            <w:bookmarkStart w:id="2" w:name="_Hlk86152658"/>
            <w:r>
              <w:rPr>
                <w:rFonts w:cs="Times New Roman" w:ascii="Times New Roman" w:hAnsi="Times New Roman"/>
                <w:sz w:val="24"/>
                <w:szCs w:val="24"/>
              </w:rPr>
              <w:t>в обслуживающую организацию</w:t>
            </w:r>
            <w:bookmarkEnd w:id="2"/>
            <w:r>
              <w:rPr>
                <w:rFonts w:cs="Times New Roman" w:ascii="Times New Roman" w:hAnsi="Times New Roman"/>
                <w:sz w:val="24"/>
                <w:szCs w:val="24"/>
              </w:rPr>
              <w:t xml:space="preserve"> для переноса пожарных извещателей в зону защиты</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 54 Правил противопожарного режима;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СП 484.1311500.2020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путях эвакуации не работает световая индикация табло «Выход»</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Обратиться в обслуживающую организацию для замены табличек</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pPr>
            <w:r>
              <w:rPr>
                <w:rFonts w:cs="Times New Roman" w:ascii="Times New Roman" w:hAnsi="Times New Roman"/>
                <w:sz w:val="24"/>
                <w:szCs w:val="24"/>
              </w:rPr>
              <w:t>п. 54 Правил противопожарного режима;</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 484.1311500.2020</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На дверях эвакуационных выходов отсутствуют доводчики и уплотнения в притворах</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нарушение</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п. 14 Правил противопожарного режима </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Дымоприемные отверстия (клапана вытяжной противодымной вентиляции), загромождены мебелью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Устранить загромождение сеток, решеток, противопожарных клапанов противодымной вентиляции</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41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pacing w:val="3"/>
                <w:sz w:val="24"/>
              </w:rPr>
            </w:pPr>
            <w:r>
              <w:rPr>
                <w:rFonts w:cs="Times New Roman" w:ascii="Times New Roman" w:hAnsi="Times New Roman"/>
                <w:spacing w:val="3"/>
                <w:sz w:val="24"/>
              </w:rPr>
              <w:t>Установленные решетки на окнах и приямках у окон подвалов, являющихся аварийными выходами</w:t>
            </w:r>
          </w:p>
          <w:p>
            <w:pPr>
              <w:pStyle w:val="Normal"/>
              <w:spacing w:lineRule="auto" w:line="240" w:before="0" w:after="0"/>
              <w:jc w:val="both"/>
              <w:rPr>
                <w:rFonts w:ascii="Times New Roman" w:hAnsi="Times New Roman" w:cs="Times New Roman"/>
                <w:spacing w:val="3"/>
                <w:sz w:val="24"/>
                <w:szCs w:val="24"/>
              </w:rPr>
            </w:pPr>
            <w:r>
              <w:rPr>
                <w:rFonts w:cs="Times New Roman" w:ascii="Times New Roman" w:hAnsi="Times New Roman"/>
                <w:spacing w:val="3"/>
                <w:sz w:val="24"/>
                <w:szCs w:val="24"/>
              </w:rPr>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pacing w:val="3"/>
                <w:sz w:val="24"/>
              </w:rPr>
              <w:t>Демонтировать решетки, препятствующие аварийному выходу</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pacing w:val="3"/>
                <w:sz w:val="24"/>
              </w:rPr>
            </w:pPr>
            <w:r>
              <w:rPr>
                <w:rFonts w:cs="Times New Roman" w:ascii="Times New Roman" w:hAnsi="Times New Roman"/>
                <w:spacing w:val="3"/>
                <w:sz w:val="24"/>
              </w:rPr>
              <w:t>Изменена планировка и размещение инженерных коммуникаций, тем самым ограничивает доступ к огнетушителям, пожарным кранам и другим средствам пожаротушения *</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pacing w:val="3"/>
                <w:sz w:val="24"/>
              </w:rPr>
              <w:t>Вернуть планировку и размещение коммуникаций согласно плану проекта дома</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16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Внутренний противопожарный водопровод, системы противопожарной сигнализации, оповещения и управления эвакуацией, противодымной защиты здания регулярно не проверяются уполномоченной организацией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Подать заявку на проверку систем</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54 Правил противопожарного режима</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Не производится проверка и обслуживание ДПИ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Провести проверку, ремонт или обслуживание ДПИ в соответствии с регламентом и инструкцией производителя</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РД 25 964-90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w:t>
            </w:r>
          </w:p>
        </w:tc>
      </w:tr>
      <w:tr>
        <w:trPr/>
        <w:tc>
          <w:tcPr>
            <w:tcW w:w="648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не установлены автономные дымовые пожарные извещатели.</w:t>
            </w:r>
          </w:p>
        </w:tc>
        <w:tc>
          <w:tcPr>
            <w:tcW w:w="442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Произвести установку автономных дымовых пожарных извещателей</w:t>
            </w:r>
          </w:p>
        </w:tc>
        <w:tc>
          <w:tcPr>
            <w:tcW w:w="426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 85</w:t>
            </w:r>
            <w:r>
              <w:rPr>
                <w:rFonts w:cs="Times New Roman" w:ascii="Times New Roman" w:hAnsi="Times New Roman"/>
                <w:sz w:val="8"/>
                <w:szCs w:val="8"/>
              </w:rPr>
              <w:t> </w:t>
            </w:r>
            <w:r>
              <w:rPr>
                <w:rFonts w:cs="Times New Roman" w:ascii="Times New Roman" w:hAnsi="Times New Roman"/>
                <w:sz w:val="24"/>
                <w:szCs w:val="24"/>
                <w:vertAlign w:val="superscript"/>
              </w:rPr>
              <w:t>1</w:t>
            </w:r>
            <w:r>
              <w:rPr>
                <w:rFonts w:cs="Times New Roman" w:ascii="Times New Roman" w:hAnsi="Times New Roman"/>
                <w:sz w:val="24"/>
                <w:szCs w:val="24"/>
              </w:rPr>
              <w:t xml:space="preserve"> Правил противопожарного режима </w:t>
            </w:r>
          </w:p>
        </w:tc>
      </w:tr>
    </w:tbl>
    <w:p>
      <w:pPr>
        <w:sectPr>
          <w:headerReference w:type="default" r:id="rId7"/>
          <w:footerReference w:type="default" r:id="rId8"/>
          <w:footnotePr>
            <w:numFmt w:val="decimal"/>
          </w:footnotePr>
          <w:type w:val="nextPage"/>
          <w:pgSz w:orient="landscape" w:w="16838" w:h="11906"/>
          <w:pgMar w:left="1134" w:right="1134" w:header="708" w:top="1276" w:footer="708" w:bottom="850" w:gutter="0"/>
          <w:pgNumType w:fmt="decimal"/>
          <w:formProt w:val="false"/>
          <w:textDirection w:val="lrTb"/>
          <w:docGrid w:type="default" w:linePitch="360" w:charSpace="0"/>
        </w:sectPr>
        <w:pStyle w:val="Normal"/>
        <w:numPr>
          <w:ilvl w:val="0"/>
          <w:numId w:val="0"/>
        </w:numPr>
        <w:spacing w:lineRule="auto" w:line="240" w:before="0" w:after="0"/>
        <w:ind w:left="0" w:hanging="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pacing w:lineRule="auto" w:line="240" w:before="0" w:after="0"/>
        <w:ind w:left="0" w:hanging="0"/>
        <w:contextualSpacing/>
        <w:jc w:val="center"/>
        <w:rPr/>
      </w:pPr>
      <w:r>
        <w:rPr>
          <w:rFonts w:cs="Times New Roman" w:ascii="Times New Roman" w:hAnsi="Times New Roman"/>
          <w:b/>
          <w:sz w:val="28"/>
          <w:szCs w:val="28"/>
          <w:lang w:val="en-US"/>
        </w:rPr>
        <w:t>III</w:t>
      </w:r>
      <w:r>
        <w:rPr>
          <w:rFonts w:cs="Times New Roman" w:ascii="Times New Roman" w:hAnsi="Times New Roman"/>
          <w:b/>
          <w:sz w:val="28"/>
          <w:szCs w:val="28"/>
        </w:rPr>
        <w:t xml:space="preserve">. Первичные средства пожаротушения и порядок действий </w:t>
      </w:r>
    </w:p>
    <w:p>
      <w:pPr>
        <w:pStyle w:val="Normal"/>
        <w:numPr>
          <w:ilvl w:val="0"/>
          <w:numId w:val="0"/>
        </w:numPr>
        <w:spacing w:lineRule="auto" w:line="240" w:before="0" w:after="0"/>
        <w:ind w:left="0" w:hanging="0"/>
        <w:contextualSpacing/>
        <w:jc w:val="center"/>
        <w:rPr>
          <w:rFonts w:ascii="Times New Roman" w:hAnsi="Times New Roman" w:cs="Times New Roman"/>
          <w:b/>
          <w:b/>
          <w:sz w:val="28"/>
          <w:szCs w:val="28"/>
        </w:rPr>
      </w:pPr>
      <w:r>
        <w:rPr>
          <w:rFonts w:cs="Times New Roman" w:ascii="Times New Roman" w:hAnsi="Times New Roman"/>
          <w:b/>
          <w:sz w:val="28"/>
          <w:szCs w:val="28"/>
        </w:rPr>
        <w:t>граждан при пожаре</w:t>
      </w:r>
    </w:p>
    <w:p>
      <w:pPr>
        <w:pStyle w:val="Normal"/>
        <w:spacing w:lineRule="auto" w:line="240" w:before="0" w:after="0"/>
        <w:contextualSpacing/>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Для борьбы с пожарами на начальной стадии его развития используются первичные средства пожаротушения. </w:t>
      </w:r>
    </w:p>
    <w:p>
      <w:pPr>
        <w:pStyle w:val="Normal"/>
        <w:spacing w:lineRule="auto" w:line="240" w:before="0" w:after="0"/>
        <w:ind w:firstLine="709"/>
        <w:jc w:val="both"/>
        <w:rPr/>
      </w:pPr>
      <w:r>
        <w:rPr>
          <w:rFonts w:cs="Times New Roman" w:ascii="Times New Roman" w:hAnsi="Times New Roman"/>
          <w:sz w:val="28"/>
          <w:szCs w:val="28"/>
        </w:rPr>
        <w:t>Первичные средства пожаротушения необходимы для ликвидации небольших возгораний и ограничения распространения пожара. Это сводит</w:t>
        <w:br/>
        <w:t>к минимуму причиненный возгоранием ущерб имуществу жилых помещений,</w:t>
        <w:br/>
        <w:t>а также гибели населения.</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1. Первичные средства пожаротушения и порядок их применения при пожаре</w:t>
      </w:r>
    </w:p>
    <w:p>
      <w:pPr>
        <w:pStyle w:val="Normal"/>
        <w:spacing w:lineRule="auto" w:line="240" w:before="0" w:after="0"/>
        <w:ind w:firstLine="709"/>
        <w:jc w:val="center"/>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40" w:before="0" w:after="0"/>
        <w:ind w:firstLine="709"/>
        <w:jc w:val="both"/>
        <w:rPr/>
      </w:pPr>
      <w:r>
        <w:rPr>
          <w:rFonts w:cs="Times New Roman" w:ascii="Times New Roman" w:hAnsi="Times New Roman"/>
          <w:sz w:val="28"/>
          <w:szCs w:val="28"/>
        </w:rPr>
        <w:t>Первичные средства пожаротушения - это средства пожаротушения, используемые для борьбы с пожаром в начальной стадии его развития, а именно переносные и передвижные огнетушители, пожарные краны и средства</w:t>
        <w:br/>
        <w:t xml:space="preserve">для их использования, пожарный инвентарь, покрывала для изоляции очага пожара. </w:t>
      </w:r>
    </w:p>
    <w:p>
      <w:pPr>
        <w:pStyle w:val="Normal"/>
        <w:spacing w:lineRule="auto" w:line="240" w:before="0" w:after="0"/>
        <w:ind w:firstLine="709"/>
        <w:jc w:val="both"/>
        <w:rPr/>
      </w:pPr>
      <w:r>
        <w:rPr/>
        <w:t>В качестве огнетушащих средств могут быть использованы следующие:</w:t>
      </w:r>
    </w:p>
    <w:tbl>
      <w:tblPr>
        <w:tblW w:w="9571" w:type="dxa"/>
        <w:jc w:val="left"/>
        <w:tblInd w:w="-108" w:type="dxa"/>
        <w:tblCellMar>
          <w:top w:w="0" w:type="dxa"/>
          <w:left w:w="108" w:type="dxa"/>
          <w:bottom w:w="0" w:type="dxa"/>
          <w:right w:w="108" w:type="dxa"/>
        </w:tblCellMar>
      </w:tblPr>
      <w:tblGrid>
        <w:gridCol w:w="5070"/>
        <w:gridCol w:w="4501"/>
      </w:tblGrid>
      <w:tr>
        <w:trPr/>
        <w:tc>
          <w:tcPr>
            <w:tcW w:w="5070" w:type="dxa"/>
            <w:tcBorders/>
            <w:shd w:fill="auto" w:val="clear"/>
          </w:tcPr>
          <w:p>
            <w:pPr>
              <w:pStyle w:val="Normal"/>
              <w:spacing w:lineRule="auto" w:line="240" w:before="0" w:after="0"/>
              <w:ind w:firstLine="592"/>
              <w:jc w:val="both"/>
              <w:rPr/>
            </w:pPr>
            <w:r>
              <w:rPr>
                <w:rFonts w:cs="Times New Roman" w:ascii="Times New Roman" w:hAnsi="Times New Roman"/>
                <w:b/>
                <w:sz w:val="28"/>
                <w:szCs w:val="28"/>
              </w:rPr>
              <w:t xml:space="preserve">Вода - </w:t>
            </w:r>
            <w:r>
              <w:rPr>
                <w:rFonts w:cs="Times New Roman" w:ascii="Times New Roman" w:hAnsi="Times New Roman"/>
                <w:sz w:val="28"/>
                <w:szCs w:val="28"/>
              </w:rPr>
              <w:t>самое распространенное средство для тушения огня. Огнетушащий эффект воды заключается в охлаждении горящих материалов</w:t>
              <w:br/>
              <w:t>и очага пожара. Вода электропроводна, поэтому ее нельзя использовать</w:t>
              <w:br/>
              <w:t>для тушения сетей и установок, находящихся под напряжением.</w:t>
              <w:br/>
              <w:t xml:space="preserve">При попадании воды на электрические провода может возникнуть короткое замыкание и удар электрическим током. Также вода неэффективна при тушении горящего масла, так как она легче большинства ЛВЖ и ГЖ. Тушение масел и других горючих жидкостей водой приводит к увеличению площади горения.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tc>
        <w:tc>
          <w:tcPr>
            <w:tcW w:w="4501" w:type="dxa"/>
            <w:tcBorders/>
            <w:shd w:fill="auto" w:val="clear"/>
            <w:vAlign w:val="center"/>
          </w:tcPr>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lang w:val="ru-RU" w:eastAsia="ru-RU"/>
              </w:rPr>
              <w:drawing>
                <wp:inline distT="0" distB="0" distL="0" distR="0">
                  <wp:extent cx="2424430" cy="1727200"/>
                  <wp:effectExtent l="0" t="0" r="0" b="0"/>
                  <wp:docPr id="3"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8" descr=""/>
                          <pic:cNvPicPr>
                            <a:picLocks noChangeAspect="1" noChangeArrowheads="1"/>
                          </pic:cNvPicPr>
                        </pic:nvPicPr>
                        <pic:blipFill>
                          <a:blip r:embed="rId9"/>
                          <a:srcRect l="-6" t="-8" r="-6" b="-8"/>
                          <a:stretch>
                            <a:fillRect/>
                          </a:stretch>
                        </pic:blipFill>
                        <pic:spPr bwMode="auto">
                          <a:xfrm>
                            <a:off x="0" y="0"/>
                            <a:ext cx="2424430" cy="1727200"/>
                          </a:xfrm>
                          <a:prstGeom prst="rect">
                            <a:avLst/>
                          </a:prstGeom>
                        </pic:spPr>
                      </pic:pic>
                    </a:graphicData>
                  </a:graphic>
                </wp:inline>
              </w:drawing>
              <mc:AlternateContent>
                <mc:Choice Requires="wps">
                  <w:drawing>
                    <wp:anchor behindDoc="0" distT="0" distB="0" distL="114935" distR="114935" simplePos="0" locked="0" layoutInCell="1" allowOverlap="1" relativeHeight="15">
                      <wp:simplePos x="0" y="0"/>
                      <wp:positionH relativeFrom="margin">
                        <wp:posOffset>2111375</wp:posOffset>
                      </wp:positionH>
                      <wp:positionV relativeFrom="paragraph">
                        <wp:posOffset>77470</wp:posOffset>
                      </wp:positionV>
                      <wp:extent cx="496570" cy="170180"/>
                      <wp:effectExtent l="0" t="0" r="0" b="0"/>
                      <wp:wrapNone/>
                      <wp:docPr id="2" name="Прямоугольник 1"/>
                      <a:graphic xmlns:a="http://schemas.openxmlformats.org/drawingml/2006/main">
                        <a:graphicData uri="http://schemas.microsoft.com/office/word/2010/wordprocessingShape">
                          <wps:wsp>
                            <wps:cNvSpPr/>
                            <wps:spPr>
                              <a:xfrm>
                                <a:off x="0" y="0"/>
                                <a:ext cx="496080" cy="1695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Прямоугольник 1" fillcolor="white" stroked="f" style="position:absolute;margin-left:166.25pt;margin-top:6.1pt;width:39pt;height:13.3pt;mso-position-horizontal-relative:margin">
                      <w10:wrap type="none"/>
                      <v:fill o:detectmouseclick="t" type="solid" color2="black"/>
                      <v:stroke color="#3465a4" joinstyle="round" endcap="flat"/>
                    </v:rect>
                  </w:pict>
                </mc:Fallback>
              </mc:AlternateConten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Рис. 1 – пожарное ведро</w:t>
            </w:r>
          </w:p>
        </w:tc>
      </w:tr>
      <w:tr>
        <w:trPr/>
        <w:tc>
          <w:tcPr>
            <w:tcW w:w="5070" w:type="dxa"/>
            <w:tcBorders/>
            <w:shd w:fill="auto" w:val="clear"/>
          </w:tcPr>
          <w:p>
            <w:pPr>
              <w:pStyle w:val="Normal"/>
              <w:spacing w:lineRule="auto" w:line="240" w:before="0" w:after="0"/>
              <w:ind w:firstLine="578"/>
              <w:jc w:val="both"/>
              <w:rPr/>
            </w:pPr>
            <w:r>
              <w:rPr>
                <w:rFonts w:cs="Times New Roman" w:ascii="Times New Roman" w:hAnsi="Times New Roman"/>
                <w:b/>
                <w:sz w:val="28"/>
                <w:szCs w:val="28"/>
              </w:rPr>
              <w:t xml:space="preserve">Песок и земля </w:t>
            </w:r>
            <w:r>
              <w:rPr>
                <w:rFonts w:cs="Times New Roman" w:ascii="Times New Roman" w:hAnsi="Times New Roman"/>
                <w:sz w:val="28"/>
                <w:szCs w:val="28"/>
              </w:rPr>
              <w:t>с успехом применяются для тушения небольших очагов горения, в том числе разливов горючих жидкостей (керосина, бензина, масла, смолы и др.) Насыпать песок следует по внешней кромке горящей зоны, стараясь окружать песком место горения, препятствуя дальнейшему растеканию жидкости. Затем при помощи лопаты нужно покрыть горящую поверхность слоем песка, который впитает жидкость.</w:t>
            </w:r>
          </w:p>
        </w:tc>
        <w:tc>
          <w:tcPr>
            <w:tcW w:w="4501" w:type="dxa"/>
            <w:tcBorders/>
            <w:shd w:fill="auto" w:val="clear"/>
            <w:vAlign w:val="center"/>
          </w:tcPr>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lang w:val="ru-RU" w:eastAsia="ru-RU"/>
              </w:rPr>
              <w:drawing>
                <wp:inline distT="0" distB="0" distL="0" distR="0">
                  <wp:extent cx="1878330" cy="1788795"/>
                  <wp:effectExtent l="0" t="0" r="0" b="0"/>
                  <wp:docPr id="4"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9" descr=""/>
                          <pic:cNvPicPr>
                            <a:picLocks noChangeAspect="1" noChangeArrowheads="1"/>
                          </pic:cNvPicPr>
                        </pic:nvPicPr>
                        <pic:blipFill>
                          <a:blip r:embed="rId10"/>
                          <a:srcRect l="-7" t="-7" r="-7" b="-7"/>
                          <a:stretch>
                            <a:fillRect/>
                          </a:stretch>
                        </pic:blipFill>
                        <pic:spPr bwMode="auto">
                          <a:xfrm>
                            <a:off x="0" y="0"/>
                            <a:ext cx="1878330" cy="1788795"/>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Рис. 2 – ящик с песком</w:t>
            </w:r>
          </w:p>
        </w:tc>
      </w:tr>
      <w:tr>
        <w:trPr/>
        <w:tc>
          <w:tcPr>
            <w:tcW w:w="5070" w:type="dxa"/>
            <w:tcBorders/>
            <w:shd w:fill="auto" w:val="clear"/>
          </w:tcPr>
          <w:p>
            <w:pPr>
              <w:pStyle w:val="Normal"/>
              <w:spacing w:lineRule="auto" w:line="240" w:before="0" w:after="0"/>
              <w:ind w:firstLine="606"/>
              <w:jc w:val="both"/>
              <w:rPr/>
            </w:pPr>
            <w:r>
              <w:rPr>
                <w:rFonts w:cs="Times New Roman" w:ascii="Times New Roman" w:hAnsi="Times New Roman"/>
                <w:b/>
                <w:sz w:val="28"/>
                <w:szCs w:val="28"/>
              </w:rPr>
              <w:t>Противопожарное полотно (кошма)</w:t>
            </w:r>
            <w:r>
              <w:rPr>
                <w:rFonts w:cs="Times New Roman" w:ascii="Times New Roman" w:hAnsi="Times New Roman"/>
                <w:sz w:val="28"/>
                <w:szCs w:val="28"/>
              </w:rPr>
              <w:t xml:space="preserve"> предназначена для изоляции очага горения от доступа воздуха.</w:t>
              <w:br/>
              <w:t>Этот метод очень эффективен,</w:t>
              <w:br/>
              <w:t>но применяется лишь при небольшом очаге горения. Нельзя использовать</w:t>
              <w:br/>
              <w:t>для тушения синтетические ткани, которые легко плавятся и разлагаются под воздействием огня, выделяя токсичные газы. Продукты разложения синтетики, как правило, сами являются горючими и способны к внезапной вспышке.</w:t>
            </w:r>
          </w:p>
        </w:tc>
        <w:tc>
          <w:tcPr>
            <w:tcW w:w="4501" w:type="dxa"/>
            <w:tcBorders/>
            <w:shd w:fill="auto" w:val="clear"/>
            <w:vAlign w:val="center"/>
          </w:tcPr>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lang w:val="ru-RU" w:eastAsia="ru-RU"/>
              </w:rPr>
              <w:drawing>
                <wp:inline distT="0" distB="0" distL="0" distR="0">
                  <wp:extent cx="2235200" cy="1739900"/>
                  <wp:effectExtent l="0" t="0" r="0" b="0"/>
                  <wp:docPr id="5"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1" descr=""/>
                          <pic:cNvPicPr>
                            <a:picLocks noChangeAspect="1" noChangeArrowheads="1"/>
                          </pic:cNvPicPr>
                        </pic:nvPicPr>
                        <pic:blipFill>
                          <a:blip r:embed="rId11"/>
                          <a:srcRect l="-16" t="-20" r="-16" b="-20"/>
                          <a:stretch>
                            <a:fillRect/>
                          </a:stretch>
                        </pic:blipFill>
                        <pic:spPr bwMode="auto">
                          <a:xfrm>
                            <a:off x="0" y="0"/>
                            <a:ext cx="2235200" cy="1739900"/>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Рис. 3 - кошма</w:t>
            </w:r>
          </w:p>
        </w:tc>
      </w:tr>
    </w:tbl>
    <w:p>
      <w:pPr>
        <w:pStyle w:val="Normal"/>
        <w:spacing w:lineRule="auto" w:line="240" w:before="0" w:after="0"/>
        <w:ind w:firstLine="709"/>
        <w:jc w:val="both"/>
        <w:rPr/>
      </w:pPr>
      <w:r>
        <w:rPr>
          <w:rFonts w:cs="Times New Roman" w:ascii="Times New Roman" w:hAnsi="Times New Roman"/>
          <w:b/>
          <w:sz w:val="28"/>
          <w:szCs w:val="28"/>
        </w:rPr>
        <w:t xml:space="preserve">Огнетушитель </w:t>
      </w:r>
      <w:r>
        <w:rPr>
          <w:rFonts w:cs="Times New Roman" w:ascii="Times New Roman" w:hAnsi="Times New Roman"/>
          <w:sz w:val="28"/>
          <w:szCs w:val="28"/>
        </w:rPr>
        <w:t xml:space="preserve">– это переносное или передвижное устройство, предназначенное для тушения очага пожара за счет выпуска огнетушащего вещества. Огнетушители делятся на три вида: на основе двуокиси углерода, порошкового типа, воздушно-пенные огнетушители.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tbl>
      <w:tblPr>
        <w:tblW w:w="9571" w:type="dxa"/>
        <w:jc w:val="left"/>
        <w:tblInd w:w="-108" w:type="dxa"/>
        <w:tblCellMar>
          <w:top w:w="0" w:type="dxa"/>
          <w:left w:w="108" w:type="dxa"/>
          <w:bottom w:w="0" w:type="dxa"/>
          <w:right w:w="108" w:type="dxa"/>
        </w:tblCellMar>
      </w:tblPr>
      <w:tblGrid>
        <w:gridCol w:w="5920"/>
        <w:gridCol w:w="3651"/>
      </w:tblGrid>
      <w:tr>
        <w:trPr/>
        <w:tc>
          <w:tcPr>
            <w:tcW w:w="5920" w:type="dxa"/>
            <w:tcBorders/>
            <w:shd w:fill="auto" w:val="clear"/>
          </w:tcPr>
          <w:p>
            <w:pPr>
              <w:pStyle w:val="Normal"/>
              <w:spacing w:lineRule="auto" w:line="240" w:before="0" w:after="0"/>
              <w:ind w:firstLine="606"/>
              <w:jc w:val="both"/>
              <w:rPr>
                <w:rFonts w:ascii="Times New Roman" w:hAnsi="Times New Roman" w:cs="Times New Roman"/>
                <w:b/>
                <w:b/>
                <w:sz w:val="28"/>
                <w:szCs w:val="28"/>
              </w:rPr>
            </w:pPr>
            <w:r>
              <w:rPr>
                <w:rFonts w:cs="Times New Roman" w:ascii="Times New Roman" w:hAnsi="Times New Roman"/>
                <w:b/>
                <w:sz w:val="28"/>
                <w:szCs w:val="28"/>
              </w:rPr>
              <w:t>Огнетушитель на основе двуокиси углерода (углекислотный огнетушитель)</w:t>
            </w:r>
          </w:p>
          <w:p>
            <w:pPr>
              <w:pStyle w:val="Normal"/>
              <w:spacing w:lineRule="auto" w:line="240" w:before="0" w:after="0"/>
              <w:ind w:firstLine="709"/>
              <w:jc w:val="both"/>
              <w:rPr/>
            </w:pPr>
            <w:r>
              <w:rPr>
                <w:rFonts w:cs="Times New Roman" w:ascii="Times New Roman" w:hAnsi="Times New Roman"/>
                <w:sz w:val="28"/>
                <w:szCs w:val="28"/>
              </w:rPr>
              <w:t>Углекислотный огнетушитель является наиболее оптимальным вариантом для жилых помещений, в первую очередь это связано</w:t>
              <w:br/>
              <w:t>с большим количеством пожарной нагрузки</w:t>
              <w:br/>
              <w:t>в помещениях, также углекислотный огнетушитель является наиболее эффективным для тушения возгорания бытовой техники</w:t>
              <w:br/>
              <w:t xml:space="preserve">или проводки. Одно из явных преимуществ углекислотных огнетушителей – его безопасность для здоровья человека. </w:t>
            </w:r>
          </w:p>
        </w:tc>
        <w:tc>
          <w:tcPr>
            <w:tcW w:w="3651" w:type="dxa"/>
            <w:tcBorders/>
            <w:shd w:fill="auto" w:val="clear"/>
            <w:vAlign w:val="center"/>
          </w:tcPr>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lang w:val="ru-RU" w:eastAsia="ru-RU"/>
              </w:rPr>
              <w:drawing>
                <wp:inline distT="0" distB="0" distL="0" distR="0">
                  <wp:extent cx="1752600" cy="1752600"/>
                  <wp:effectExtent l="0" t="0" r="0" b="0"/>
                  <wp:docPr id="6"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2" descr=""/>
                          <pic:cNvPicPr>
                            <a:picLocks noChangeAspect="1" noChangeArrowheads="1"/>
                          </pic:cNvPicPr>
                        </pic:nvPicPr>
                        <pic:blipFill>
                          <a:blip r:embed="rId12"/>
                          <a:srcRect l="-7" t="-7" r="-7" b="-7"/>
                          <a:stretch>
                            <a:fillRect/>
                          </a:stretch>
                        </pic:blipFill>
                        <pic:spPr bwMode="auto">
                          <a:xfrm>
                            <a:off x="0" y="0"/>
                            <a:ext cx="1752600" cy="1752600"/>
                          </a:xfrm>
                          <a:prstGeom prst="rect">
                            <a:avLst/>
                          </a:prstGeom>
                        </pic:spPr>
                      </pic:pic>
                    </a:graphicData>
                  </a:graphic>
                </wp:inline>
              </w:drawing>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Рис. 4 – углекислотный огнетушитель</w:t>
            </w:r>
          </w:p>
        </w:tc>
      </w:tr>
      <w:tr>
        <w:trPr/>
        <w:tc>
          <w:tcPr>
            <w:tcW w:w="5920" w:type="dxa"/>
            <w:tcBorders/>
            <w:shd w:fill="auto" w:val="clear"/>
          </w:tcPr>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Огнетушители порошкового типа (порошковые огнетушители)</w:t>
            </w:r>
          </w:p>
          <w:p>
            <w:pPr>
              <w:pStyle w:val="Normal"/>
              <w:spacing w:lineRule="auto" w:line="240" w:before="0" w:after="0"/>
              <w:ind w:firstLine="709"/>
              <w:jc w:val="both"/>
              <w:rPr/>
            </w:pPr>
            <w:r>
              <w:rPr>
                <w:rFonts w:cs="Times New Roman" w:ascii="Times New Roman" w:hAnsi="Times New Roman"/>
                <w:sz w:val="28"/>
                <w:szCs w:val="28"/>
              </w:rPr>
              <w:t>Огнетушители порошкового типа применяются в основном для тушения ЛВЖ</w:t>
              <w:br/>
              <w:t>и ГЖ. Принцип действия порошкового огнетушителя основан на выпуске</w:t>
              <w:br/>
              <w:t>под давлением порошка, который изолирует очаг возгорания, тем самым ликвидируя его. Использование данного типа огнетушителя приводит к образованию токсичного облака, которое в тесном пространстве небезопасно для здоровья человека. Также после оседания облака порошка пострадает и все имущество, находящееся в помещении.</w:t>
            </w:r>
          </w:p>
        </w:tc>
        <w:tc>
          <w:tcPr>
            <w:tcW w:w="3651" w:type="dxa"/>
            <w:tcBorders/>
            <w:shd w:fill="auto" w:val="clear"/>
            <w:vAlign w:val="center"/>
          </w:tcPr>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lang w:val="ru-RU" w:eastAsia="ru-RU"/>
              </w:rPr>
              <w:drawing>
                <wp:inline distT="0" distB="0" distL="0" distR="0">
                  <wp:extent cx="1450340" cy="1450340"/>
                  <wp:effectExtent l="0" t="0" r="0" b="0"/>
                  <wp:docPr id="7"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3" descr=""/>
                          <pic:cNvPicPr>
                            <a:picLocks noChangeAspect="1" noChangeArrowheads="1"/>
                          </pic:cNvPicPr>
                        </pic:nvPicPr>
                        <pic:blipFill>
                          <a:blip r:embed="rId13"/>
                          <a:srcRect l="-24" t="-24" r="-24" b="-24"/>
                          <a:stretch>
                            <a:fillRect/>
                          </a:stretch>
                        </pic:blipFill>
                        <pic:spPr bwMode="auto">
                          <a:xfrm>
                            <a:off x="0" y="0"/>
                            <a:ext cx="1450340" cy="1450340"/>
                          </a:xfrm>
                          <a:prstGeom prst="rect">
                            <a:avLst/>
                          </a:prstGeom>
                        </pic:spPr>
                      </pic:pic>
                    </a:graphicData>
                  </a:graphic>
                </wp:inline>
              </w:drawing>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Рис. 5 – порошковый огнетушитель</w:t>
            </w:r>
          </w:p>
        </w:tc>
      </w:tr>
      <w:tr>
        <w:trPr/>
        <w:tc>
          <w:tcPr>
            <w:tcW w:w="5920" w:type="dxa"/>
            <w:tcBorders/>
            <w:shd w:fill="auto" w:val="clear"/>
          </w:tcPr>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Воздушно-пенные огнетушители</w:t>
            </w:r>
          </w:p>
          <w:p>
            <w:pPr>
              <w:pStyle w:val="Normal"/>
              <w:spacing w:lineRule="auto" w:line="240" w:before="0" w:after="0"/>
              <w:ind w:firstLine="709"/>
              <w:jc w:val="both"/>
              <w:rPr/>
            </w:pPr>
            <w:r>
              <w:rPr>
                <w:rFonts w:cs="Times New Roman" w:ascii="Times New Roman" w:hAnsi="Times New Roman"/>
                <w:sz w:val="28"/>
                <w:szCs w:val="28"/>
              </w:rPr>
              <w:t>Воздушно-пенные огнетушители являются наиболее подходящим вариантом при тушении строений и предметов мебели</w:t>
              <w:br/>
              <w:t>из дерева, поэтому при выборе огнетушителя для домашнего использования необходимо учитывать, какие материалы преобладают</w:t>
              <w:br/>
              <w:t>в помещении. Следует учитывать и минусы воздушно-пенных огнетушителей, так как самым главным их недостатком является то,</w:t>
              <w:br/>
              <w:t>что ими запрещено тушить электрические приборы и технику, а также они замерзают</w:t>
              <w:br/>
              <w:t xml:space="preserve">при низких температурах. </w:t>
            </w:r>
          </w:p>
        </w:tc>
        <w:tc>
          <w:tcPr>
            <w:tcW w:w="3651" w:type="dxa"/>
            <w:tcBorders/>
            <w:shd w:fill="auto" w:val="clear"/>
            <w:vAlign w:val="center"/>
          </w:tcPr>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lang w:val="ru-RU" w:eastAsia="ru-RU"/>
              </w:rPr>
              <w:drawing>
                <wp:inline distT="0" distB="0" distL="0" distR="0">
                  <wp:extent cx="1659255" cy="1992630"/>
                  <wp:effectExtent l="0" t="0" r="0" b="0"/>
                  <wp:docPr id="8"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4" descr=""/>
                          <pic:cNvPicPr>
                            <a:picLocks noChangeAspect="1" noChangeArrowheads="1"/>
                          </pic:cNvPicPr>
                        </pic:nvPicPr>
                        <pic:blipFill>
                          <a:blip r:embed="rId14"/>
                          <a:srcRect l="19738" t="-18" r="17997" b="-18"/>
                          <a:stretch>
                            <a:fillRect/>
                          </a:stretch>
                        </pic:blipFill>
                        <pic:spPr bwMode="auto">
                          <a:xfrm>
                            <a:off x="0" y="0"/>
                            <a:ext cx="1659255" cy="1992630"/>
                          </a:xfrm>
                          <a:prstGeom prst="rect">
                            <a:avLst/>
                          </a:prstGeom>
                        </pic:spPr>
                      </pic:pic>
                    </a:graphicData>
                  </a:graphic>
                </wp:inline>
              </w:drawing>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Рис. 6 – воздушно-пенный огнетушитель</w:t>
            </w:r>
          </w:p>
        </w:tc>
      </w:tr>
    </w:tbl>
    <w:p>
      <w:pPr>
        <w:pStyle w:val="Normal"/>
        <w:spacing w:lineRule="auto" w:line="240" w:before="0" w:after="0"/>
        <w:ind w:firstLine="709"/>
        <w:jc w:val="both"/>
        <w:rPr/>
      </w:pPr>
      <w:r>
        <w:rPr>
          <w:rFonts w:cs="Times New Roman" w:ascii="Times New Roman" w:hAnsi="Times New Roman"/>
          <w:sz w:val="28"/>
          <w:szCs w:val="28"/>
        </w:rPr>
        <w:t>При установке огнетушителя в жилом помещении необходимо внимательно ознакомиться с инструкцией по его применению, следить</w:t>
        <w:br/>
        <w:t>за сроками годности огнетушителя и при необходимости перезаряжать емкость огнетушащим составом.</w:t>
      </w:r>
    </w:p>
    <w:p>
      <w:pPr>
        <w:pStyle w:val="Normal"/>
        <w:spacing w:lineRule="auto" w:line="240" w:before="0" w:after="0"/>
        <w:ind w:firstLine="709"/>
        <w:jc w:val="both"/>
        <w:rPr/>
      </w:pPr>
      <w:r>
        <w:rPr>
          <w:rFonts w:cs="Times New Roman" w:ascii="Times New Roman" w:hAnsi="Times New Roman"/>
          <w:sz w:val="28"/>
          <w:szCs w:val="28"/>
        </w:rPr>
        <w:t>Важно помнить, что огнетушитель может помочь только в случае своевременного использования на ранней стадии пожара. Именно поэтому следует выбрать оптимальное и легкодоступное место для размещения</w:t>
        <w:br/>
        <w:t>и хранения огнетушителя. Также, рекомендуется, после использования огнетушителя, когда открытый очаг пожар уже не наблюдается, пролить место возникновения пожара водой и разобрать сгоревшие вещи.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2. Средства индивидуальной защиты и спасения людей при пожаре</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pPr>
      <w:r>
        <w:rPr>
          <w:rFonts w:cs="Times New Roman" w:ascii="Times New Roman" w:hAnsi="Times New Roman"/>
          <w:sz w:val="28"/>
          <w:szCs w:val="28"/>
        </w:rPr>
        <w:t>В настоящее время имеется широкий спектр средств самоспасания людей при пожаре, которые классифицируются в зависимости от действия</w:t>
        <w:br/>
        <w:t>и назначения: средства индивидуальной защиты органов дыхания и зрения, кожных покровов, а также средства спасения с верхних этажей зданий</w:t>
        <w:br/>
        <w:t>при пожаре. Особенно актуальны средства самоспасения для людей, живущих</w:t>
        <w:br/>
        <w:t>в многоквартирных и высотных домах, наличие таких средств значительно увеличивает шансы на спасение во время пожара. Эксплуатация средств индивидуальной защиты и спасения возможна при наличии на данную продукцию сертификата, самоспасатели должны постоянно храниться в местах нахождения людей, хранение и обслуживание организовывается в соответствии</w:t>
        <w:br/>
        <w:t xml:space="preserve">с требованиями завода-изготовителя.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b/>
          <w:sz w:val="28"/>
          <w:szCs w:val="28"/>
        </w:rPr>
        <w:t>Средства для защиты органов дыхания</w:t>
      </w:r>
    </w:p>
    <w:p>
      <w:pPr>
        <w:pStyle w:val="Normal"/>
        <w:spacing w:lineRule="auto" w:line="240" w:before="0" w:after="0"/>
        <w:ind w:firstLine="709"/>
        <w:jc w:val="both"/>
        <w:rPr/>
      </w:pPr>
      <w:r>
        <w:rPr>
          <w:rFonts w:cs="Times New Roman" w:ascii="Times New Roman" w:hAnsi="Times New Roman"/>
          <w:sz w:val="28"/>
          <w:szCs w:val="28"/>
        </w:rPr>
        <w:t>В зависимости от действия и назначения средства для защиты органов дыхания разделяют на две группы: изолирующего и фильтрующего типа.</w:t>
        <w:br/>
        <w:t>Для индивидуального использования гражданами подходят фильтрующие самоспасатели, так как они полностью готовы к действию и не имеют дополнительных элементов. Время защитного действия такого типа самоспасателя не менее 20 минут, чего достаточно для эвакуации человека</w:t>
        <w:br/>
        <w:t>в безопасную зону. Важно помнить, что фильтрующие средства защиты предназначены для однократного использования, их повторное применение</w:t>
        <w:br/>
        <w:t>не допускается. Наиболее распространенными марками среди фильтрующих средств защиты органов дыхания являются «Феникс» и «Шанс».</w:t>
        <w:br/>
        <w:t>После приобретения средств защиты органов дыхания для индивидуального использования, необходимо подробно ознакомиться с инструкцией</w:t>
        <w:br/>
        <w:t xml:space="preserve">по их применению.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lang w:val="ru-RU" w:eastAsia="ru-RU"/>
        </w:rPr>
        <w:drawing>
          <wp:inline distT="0" distB="0" distL="0" distR="0">
            <wp:extent cx="4140835" cy="217170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5"/>
                    <a:srcRect l="-5" t="-10" r="-5" b="-10"/>
                    <a:stretch>
                      <a:fillRect/>
                    </a:stretch>
                  </pic:blipFill>
                  <pic:spPr bwMode="auto">
                    <a:xfrm>
                      <a:off x="0" y="0"/>
                      <a:ext cx="4140835" cy="2171700"/>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sz w:val="28"/>
          <w:szCs w:val="28"/>
        </w:rPr>
        <w:t>Рис. 7–фильтрующие средства защиты органов дыхания</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w:t>
      </w:r>
      <w:r>
        <w:rPr>
          <w:rFonts w:cs="Times New Roman" w:ascii="Times New Roman" w:hAnsi="Times New Roman"/>
          <w:b/>
          <w:sz w:val="28"/>
          <w:szCs w:val="28"/>
        </w:rPr>
        <w:t>Специальные огнестойкие накидки</w:t>
      </w:r>
    </w:p>
    <w:p>
      <w:pPr>
        <w:pStyle w:val="Normal"/>
        <w:spacing w:lineRule="auto" w:line="240" w:before="0" w:after="0"/>
        <w:ind w:firstLine="709"/>
        <w:jc w:val="both"/>
        <w:rPr/>
      </w:pPr>
      <w:r>
        <w:rPr>
          <w:rFonts w:cs="Times New Roman" w:ascii="Times New Roman" w:hAnsi="Times New Roman"/>
          <w:sz w:val="28"/>
          <w:szCs w:val="28"/>
        </w:rPr>
        <w:t>Специальные огнестойкие накидки предназначены для предотвращения возгорания одежды человека, повышенных температур и теплового излучения</w:t>
        <w:br/>
        <w:t>и для обеспечения безопасной эвакуации при пожаре. Кроме основного назначения, огнестойкие накидки могут быть использованы как первичные средства пожаротушения (кошма) для изоляции очага возгорания.</w:t>
        <w:br/>
        <w:t xml:space="preserve">Накидка проста в эксплуатации и используется без специальной подготовки человека.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lang w:val="ru-RU" w:eastAsia="ru-RU"/>
        </w:rPr>
        <w:drawing>
          <wp:inline distT="0" distB="0" distL="0" distR="0">
            <wp:extent cx="2276475" cy="2276475"/>
            <wp:effectExtent l="0" t="0" r="0" b="0"/>
            <wp:docPr id="10"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descr=""/>
                    <pic:cNvPicPr>
                      <a:picLocks noChangeAspect="1" noChangeArrowheads="1"/>
                    </pic:cNvPicPr>
                  </pic:nvPicPr>
                  <pic:blipFill>
                    <a:blip r:embed="rId16"/>
                    <a:srcRect l="-15" t="-15" r="-15" b="-15"/>
                    <a:stretch>
                      <a:fillRect/>
                    </a:stretch>
                  </pic:blipFill>
                  <pic:spPr bwMode="auto">
                    <a:xfrm>
                      <a:off x="0" y="0"/>
                      <a:ext cx="2276475" cy="2276475"/>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sz w:val="28"/>
          <w:szCs w:val="28"/>
        </w:rPr>
        <w:t>Рис. 8–специальные огнестойкие накидки</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Средства спасения во время пожара с верхних этажей зданий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 средствам спасения с верхних этажей зданий относятся: канатно-спускные устройства, маты и подушки, складные и навесные лестницы, рукавные спусковые устройства и желоба для спуска. </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 xml:space="preserve">Канатно-спусковые устройства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Наиболее простыми в использовании являются канатно-спусковые устройства и складные навесные лестницы. Канатно-спусковые устройства делятся на две группы: с автоматическим регулированием скорости спуска,</w:t>
        <w:br/>
        <w:t xml:space="preserve">для использования которых не требуется специальная подготовка, и с ручным регулированием, при использовании которых требуется специальная подготовка. Высота спуска в обоих случаях зависит от длины каната.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lang w:val="ru-RU" w:eastAsia="ru-RU"/>
        </w:rPr>
        <w:drawing>
          <wp:inline distT="0" distB="0" distL="0" distR="0">
            <wp:extent cx="3067050" cy="3067050"/>
            <wp:effectExtent l="0" t="0" r="0" b="0"/>
            <wp:docPr id="11"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7" descr=""/>
                    <pic:cNvPicPr>
                      <a:picLocks noChangeAspect="1" noChangeArrowheads="1"/>
                    </pic:cNvPicPr>
                  </pic:nvPicPr>
                  <pic:blipFill>
                    <a:blip r:embed="rId17"/>
                    <a:srcRect l="-9" t="-9" r="-9" b="-9"/>
                    <a:stretch>
                      <a:fillRect/>
                    </a:stretch>
                  </pic:blipFill>
                  <pic:spPr bwMode="auto">
                    <a:xfrm>
                      <a:off x="0" y="0"/>
                      <a:ext cx="3067050" cy="3067050"/>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Рис. 9 –канатно-спусковое устройство</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t>Навесные спасательные лестницы</w:t>
      </w:r>
    </w:p>
    <w:p>
      <w:pPr>
        <w:pStyle w:val="Normal"/>
        <w:spacing w:lineRule="auto" w:line="240" w:before="0" w:after="0"/>
        <w:ind w:firstLine="709"/>
        <w:jc w:val="both"/>
        <w:rPr/>
      </w:pPr>
      <w:r>
        <w:rPr>
          <w:rFonts w:cs="Times New Roman" w:ascii="Times New Roman" w:hAnsi="Times New Roman"/>
          <w:sz w:val="28"/>
          <w:szCs w:val="28"/>
        </w:rPr>
        <w:t>Навесные спасательные лестницы предназначены для самостоятельной эвакуации людей из помещений при пожарах до прибытия пожарно-спасательных подразделений. Данный тип лестниц хранится в компактном контейнере</w:t>
        <w:br/>
        <w:t>в легкодоступном месте жилого помещения, при необходимости использования лестница фиксируется за специальные анкеры, установленные</w:t>
        <w:br/>
        <w:t xml:space="preserve">в непосредственной близости к месту предполагаемой эвакуации и вывешивается снаружи здания. Спуск по лестнице спасаемые производят самостоятельно. Основным достоинством данного типа спасательного оборудования является простота его использования. Высота спуска не более 15 метров. </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lang w:val="ru-RU" w:eastAsia="ru-RU"/>
        </w:rPr>
        <w:drawing>
          <wp:inline distT="0" distB="0" distL="0" distR="0">
            <wp:extent cx="3807460" cy="3552190"/>
            <wp:effectExtent l="0" t="0" r="0" b="0"/>
            <wp:docPr id="12"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8" descr=""/>
                    <pic:cNvPicPr>
                      <a:picLocks noChangeAspect="1" noChangeArrowheads="1"/>
                    </pic:cNvPicPr>
                  </pic:nvPicPr>
                  <pic:blipFill>
                    <a:blip r:embed="rId18"/>
                    <a:srcRect l="-9" t="-9" r="-9" b="-9"/>
                    <a:stretch>
                      <a:fillRect/>
                    </a:stretch>
                  </pic:blipFill>
                  <pic:spPr bwMode="auto">
                    <a:xfrm>
                      <a:off x="0" y="0"/>
                      <a:ext cx="3807460" cy="3552190"/>
                    </a:xfrm>
                    <a:prstGeom prst="rect">
                      <a:avLst/>
                    </a:prstGeom>
                  </pic:spPr>
                </pic:pic>
              </a:graphicData>
            </a:graphic>
          </wp:inline>
        </w:drawing>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t>Рис. 10 – навесная спасательная лестница</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3. Действия в случае возникновения пожара в жилых помещениях:</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Style32"/>
        <w:numPr>
          <w:ilvl w:val="0"/>
          <w:numId w:val="4"/>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Не впадайте в панику, не теряйте самообладание, соблюдайте спокойствие.</w:t>
      </w:r>
    </w:p>
    <w:p>
      <w:pPr>
        <w:pStyle w:val="Style32"/>
        <w:numPr>
          <w:ilvl w:val="0"/>
          <w:numId w:val="4"/>
        </w:numPr>
        <w:spacing w:lineRule="auto" w:line="240" w:before="0" w:after="0"/>
        <w:ind w:left="0" w:firstLine="709"/>
        <w:contextualSpacing/>
        <w:jc w:val="both"/>
        <w:rPr/>
      </w:pPr>
      <w:r>
        <w:rPr>
          <w:rFonts w:cs="Times New Roman" w:ascii="Times New Roman" w:hAnsi="Times New Roman"/>
          <w:sz w:val="28"/>
          <w:szCs w:val="28"/>
        </w:rPr>
        <w:t>При обнаружении пожара или признаков горения (задымление,</w:t>
        <w:br/>
        <w:t>запах гари, повышение температуры и т.п.) немедленно сообщите в пожарную охрану по телефонам 112, 101 или 01 (для стационарных телефонов), при этом необходимо назвать адрес, место возникновения пожара, а также сообщить</w:t>
        <w:br/>
        <w:t>свою фамилию. Будьте готовы, что диспетчер может задать вам ряд дополнительных вопросов.</w:t>
      </w:r>
    </w:p>
    <w:p>
      <w:pPr>
        <w:pStyle w:val="Style32"/>
        <w:numPr>
          <w:ilvl w:val="0"/>
          <w:numId w:val="4"/>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большинстве случаев, когда пожар обнаружен в самой начальной стадии, его можно потушить с помощью подручных средств, если же потушить загорание на первых минутах самостоятельно невозможно, покиньте помещение, закрыв за собой двери. </w:t>
      </w:r>
    </w:p>
    <w:p>
      <w:pPr>
        <w:pStyle w:val="Style32"/>
        <w:numPr>
          <w:ilvl w:val="0"/>
          <w:numId w:val="4"/>
        </w:numPr>
        <w:spacing w:lineRule="auto" w:line="240" w:before="0" w:after="0"/>
        <w:ind w:left="0" w:firstLine="709"/>
        <w:contextualSpacing/>
        <w:jc w:val="both"/>
        <w:rPr/>
      </w:pPr>
      <w:r>
        <w:rPr>
          <w:rFonts w:cs="Times New Roman" w:ascii="Times New Roman" w:hAnsi="Times New Roman"/>
          <w:sz w:val="28"/>
          <w:szCs w:val="28"/>
        </w:rPr>
        <w:t>При наличии возможности отключите электроавтоматы (на щитке</w:t>
        <w:br/>
        <w:t>на лестничной клетке), примите меры по встрече пожарно-спасательных подразделений.</w:t>
      </w:r>
    </w:p>
    <w:p>
      <w:pPr>
        <w:pStyle w:val="Style32"/>
        <w:numPr>
          <w:ilvl w:val="0"/>
          <w:numId w:val="20"/>
        </w:numPr>
        <w:spacing w:lineRule="auto" w:line="240" w:before="0" w:after="0"/>
        <w:ind w:left="0" w:firstLine="709"/>
        <w:contextualSpacing/>
        <w:jc w:val="both"/>
        <w:rPr/>
      </w:pPr>
      <w:r>
        <w:rPr>
          <w:rFonts w:cs="Times New Roman" w:ascii="Times New Roman" w:hAnsi="Times New Roman"/>
          <w:sz w:val="28"/>
          <w:szCs w:val="28"/>
        </w:rPr>
        <w:t>Двигайтесь, пригнувшись или ползком (внизу меньше дыма), накройте голову и тело мокрой тканью. Примите меры по оповещению соседей</w:t>
        <w:br/>
        <w:t>о пожаре.</w:t>
      </w:r>
    </w:p>
    <w:p>
      <w:pPr>
        <w:pStyle w:val="Style32"/>
        <w:numPr>
          <w:ilvl w:val="0"/>
          <w:numId w:val="20"/>
        </w:numPr>
        <w:spacing w:lineRule="auto" w:line="240" w:before="0" w:after="0"/>
        <w:ind w:left="0" w:firstLine="709"/>
        <w:contextualSpacing/>
        <w:jc w:val="both"/>
        <w:rPr/>
      </w:pPr>
      <w:r>
        <w:rPr>
          <w:rFonts w:cs="Times New Roman" w:ascii="Times New Roman" w:hAnsi="Times New Roman"/>
          <w:sz w:val="28"/>
          <w:szCs w:val="28"/>
        </w:rPr>
        <w:t>При невозможности покинуть квартиру, вследствие высокой температуры или сильного задымления на лестничной клетке, используйте балконную лестницу, если ее нет, закройте плотно двери и окна в квартире, выйдите на балкон и кричите: «Пожар!». Подавайте сигналы пожарным</w:t>
        <w:br/>
        <w:t>с помощью ярких вещей или фонарика, при наличии возможности сообщите свое местонахождение диспетчеру пожарно-спасательной службы.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6.</w:t>
        <w:tab/>
        <w:t>При отсутствии балкона и возможности покинуть жилое помещение, необходимо закрыть входную (межкомнатную) дверь и, используя смоченные водой полотенца, одеяла или любую другую ткань, плотно заткнуть ими щели дверей, при возможности сообщите свое местонахождение диспетчеру пожарно-спасательной службы.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4. При возникновении пожара категорически запрещается:</w:t>
      </w:r>
    </w:p>
    <w:p>
      <w:pPr>
        <w:pStyle w:val="Normal"/>
        <w:spacing w:lineRule="auto" w:line="240" w:before="0" w:after="0"/>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Style32"/>
        <w:numPr>
          <w:ilvl w:val="0"/>
          <w:numId w:val="19"/>
        </w:numPr>
        <w:spacing w:lineRule="auto" w:line="240" w:before="0" w:after="0"/>
        <w:ind w:left="0" w:firstLine="709"/>
        <w:contextualSpacing/>
        <w:jc w:val="both"/>
        <w:rPr/>
      </w:pPr>
      <w:r>
        <w:rPr>
          <w:rFonts w:cs="Times New Roman" w:ascii="Times New Roman" w:hAnsi="Times New Roman"/>
          <w:sz w:val="28"/>
          <w:szCs w:val="28"/>
        </w:rPr>
        <w:t>Тушить водой воспламенившиеся электроприборы, не отключив</w:t>
        <w:br/>
        <w:t xml:space="preserve">их от электросети. Использовать воду для тушения горящего масла, ГЖ. </w:t>
      </w:r>
    </w:p>
    <w:p>
      <w:pPr>
        <w:pStyle w:val="Style32"/>
        <w:numPr>
          <w:ilvl w:val="0"/>
          <w:numId w:val="19"/>
        </w:numPr>
        <w:spacing w:lineRule="auto" w:line="240" w:before="0" w:after="0"/>
        <w:ind w:left="0" w:firstLine="709"/>
        <w:contextualSpacing/>
        <w:jc w:val="both"/>
        <w:rPr/>
      </w:pPr>
      <w:r>
        <w:rPr>
          <w:rFonts w:cs="Times New Roman" w:ascii="Times New Roman" w:hAnsi="Times New Roman"/>
          <w:sz w:val="28"/>
          <w:szCs w:val="28"/>
        </w:rPr>
        <w:t>Открывать окна и двери, чтобы выпустить дым (горение усилится</w:t>
        <w:br/>
        <w:t>из-за притока воздуха).</w:t>
      </w:r>
    </w:p>
    <w:p>
      <w:pPr>
        <w:pStyle w:val="Style32"/>
        <w:numPr>
          <w:ilvl w:val="0"/>
          <w:numId w:val="19"/>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Прятаться под кроватью, в шкафу и других предметах мебели.</w:t>
      </w:r>
    </w:p>
    <w:p>
      <w:pPr>
        <w:pStyle w:val="Style32"/>
        <w:numPr>
          <w:ilvl w:val="0"/>
          <w:numId w:val="19"/>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Пользоваться лифтом во время пожара, так как при пожаре работа лифтов останавливается.</w:t>
      </w:r>
    </w:p>
    <w:p>
      <w:pPr>
        <w:pStyle w:val="Style32"/>
        <w:numPr>
          <w:ilvl w:val="0"/>
          <w:numId w:val="19"/>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Пытаться выйти через сильно задымленный коридор или лестницу (дым токсичен, а горячий воздух может обжечь легкие).</w:t>
      </w:r>
    </w:p>
    <w:p>
      <w:pPr>
        <w:pStyle w:val="Style32"/>
        <w:numPr>
          <w:ilvl w:val="0"/>
          <w:numId w:val="19"/>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Спускаться по водоисточникам, трубам и стоякам, либо с помощью простыней и веревок (падение почти всегда неизбежно).</w:t>
      </w:r>
      <w:r>
        <w:br w:type="page"/>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autoSpaceDE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Список использованных источников</w:t>
      </w:r>
    </w:p>
    <w:p>
      <w:pPr>
        <w:pStyle w:val="Normal"/>
        <w:autoSpaceDE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Style32"/>
        <w:numPr>
          <w:ilvl w:val="0"/>
          <w:numId w:val="7"/>
        </w:numPr>
        <w:autoSpaceDE w:val="false"/>
        <w:spacing w:before="0" w:after="0"/>
        <w:ind w:left="284" w:firstLine="709"/>
        <w:contextualSpacing/>
        <w:jc w:val="both"/>
        <w:rPr>
          <w:rFonts w:ascii="Times New Roman" w:hAnsi="Times New Roman" w:cs="Times New Roman"/>
          <w:sz w:val="28"/>
          <w:szCs w:val="28"/>
        </w:rPr>
      </w:pPr>
      <w:r>
        <w:rPr>
          <w:rFonts w:cs="Times New Roman" w:ascii="Times New Roman" w:hAnsi="Times New Roman"/>
          <w:sz w:val="28"/>
          <w:szCs w:val="28"/>
        </w:rPr>
        <w:t>Федеральный закон от 22 июля 2008 г. № 123-ФЗ «Технический регламент о требованиях пожарной безопасности».</w:t>
      </w:r>
    </w:p>
    <w:p>
      <w:pPr>
        <w:pStyle w:val="Style32"/>
        <w:numPr>
          <w:ilvl w:val="0"/>
          <w:numId w:val="7"/>
        </w:numPr>
        <w:autoSpaceDE w:val="false"/>
        <w:spacing w:before="0" w:after="0"/>
        <w:ind w:left="284" w:firstLine="709"/>
        <w:contextualSpacing/>
        <w:jc w:val="both"/>
        <w:rPr>
          <w:rFonts w:ascii="Times New Roman" w:hAnsi="Times New Roman" w:cs="Times New Roman"/>
          <w:sz w:val="28"/>
          <w:szCs w:val="28"/>
        </w:rPr>
      </w:pPr>
      <w:r>
        <w:rPr>
          <w:rFonts w:cs="Times New Roman" w:ascii="Times New Roman" w:hAnsi="Times New Roman"/>
          <w:sz w:val="28"/>
          <w:szCs w:val="28"/>
        </w:rPr>
        <w:t>Постановление Правительства Российской Федерации от 16 сентября</w:t>
        <w:br/>
        <w:t>2020 г. № 1479 «Об утверждении Правил противопожарного режима</w:t>
        <w:br/>
        <w:t>в Российской Федерации».</w:t>
      </w:r>
    </w:p>
    <w:p>
      <w:pPr>
        <w:pStyle w:val="Style32"/>
        <w:numPr>
          <w:ilvl w:val="0"/>
          <w:numId w:val="7"/>
        </w:numPr>
        <w:autoSpaceDE w:val="false"/>
        <w:spacing w:before="0" w:after="0"/>
        <w:ind w:left="284" w:firstLine="709"/>
        <w:contextualSpacing/>
        <w:jc w:val="both"/>
        <w:rPr>
          <w:rFonts w:ascii="Times New Roman" w:hAnsi="Times New Roman" w:cs="Times New Roman"/>
          <w:sz w:val="28"/>
          <w:szCs w:val="28"/>
        </w:rPr>
      </w:pPr>
      <w:r>
        <w:rPr>
          <w:rFonts w:cs="Times New Roman" w:ascii="Times New Roman" w:hAnsi="Times New Roman"/>
          <w:bCs/>
          <w:sz w:val="28"/>
          <w:szCs w:val="28"/>
        </w:rPr>
        <w:t>СП 7.13130.2013 Свод правил. Отопление, вентиляция</w:t>
        <w:br/>
        <w:t>и кондиционирование. Требования пожарной безопасности.</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Правила устройства электроустановок (ПУЭ). Шестое издание</w:t>
        <w:br/>
        <w:t xml:space="preserve">(утв. Главтехуправлением, Госэнергонадзором Минэнерго СССР 05.10.1979).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ГОСТ МЭК 62619-2020 Аккумуляторы и аккумуляторные батарей, содержание щелочной или другие некислотные электролиты.</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ГОСТ 14705-83 Электрокипятильники погружные. Общие технические условия.</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Инструкция Минэнерго России СО 153-34-21-122-2003.2004 Инструкция по устройству молниезащиты зданий, сооружений</w:t>
        <w:br/>
        <w:t>и промышленных коммуникаций.</w:t>
      </w:r>
    </w:p>
    <w:p>
      <w:pPr>
        <w:pStyle w:val="Style32"/>
        <w:numPr>
          <w:ilvl w:val="0"/>
          <w:numId w:val="7"/>
        </w:numPr>
        <w:autoSpaceDE w:val="false"/>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ГОСТ 52209-2004 Соединения газовых горелок и аппаратов.</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Приказ Минстроя России от 5 декабря 2017 г. №1614/пр</w:t>
        <w:br/>
        <w:t xml:space="preserve">«Об утверждении инструкции по безопасному использованию газа при удовлетворении коммунально-бытовых нужд».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 Постановлением Госстроя России от 26.06.2003 № 112).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 xml:space="preserve">СНиП 42-01-2002. Газораспределительные системы» (приняты и введены в действие Постановлением Госстроя РФ от 23.12.2002 № 163).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Приказ Ростехнадзора от 15 декабря 2020 г.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(зарегистрировано в Минюсте России 31.12.2020</w:t>
        <w:br/>
        <w:t xml:space="preserve">№ 61998).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 xml:space="preserve">СП 7.13130 Отопление, вентиляция и кондиционирование. Требования пожарной безопасности.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 xml:space="preserve">РД 25 964-90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 xml:space="preserve">СП 3.13130 Системы противопожарной защиты. Система оповещения и управления эвакуацией людей при пожаре. Требования пожарной безопасности. </w:t>
      </w:r>
    </w:p>
    <w:p>
      <w:pPr>
        <w:pStyle w:val="Style32"/>
        <w:numPr>
          <w:ilvl w:val="0"/>
          <w:numId w:val="7"/>
        </w:numPr>
        <w:autoSpaceDE w:val="false"/>
        <w:spacing w:before="0" w:after="0"/>
        <w:ind w:left="0" w:firstLine="993"/>
        <w:contextualSpacing/>
        <w:jc w:val="both"/>
        <w:rPr>
          <w:rFonts w:ascii="Times New Roman" w:hAnsi="Times New Roman" w:cs="Times New Roman"/>
          <w:sz w:val="28"/>
          <w:szCs w:val="28"/>
        </w:rPr>
      </w:pPr>
      <w:r>
        <w:rPr>
          <w:rFonts w:cs="Times New Roman" w:ascii="Times New Roman" w:hAnsi="Times New Roman"/>
          <w:sz w:val="28"/>
          <w:szCs w:val="28"/>
        </w:rPr>
        <w:t xml:space="preserve">СП 484.1311500 Системы противопожарной защиты. Системы пожарной сигнализации и автоматизация систем противопожарной защиты. Нормы и правила проектирования. </w:t>
      </w:r>
    </w:p>
    <w:p>
      <w:pPr>
        <w:pStyle w:val="Normal"/>
        <w:rPr>
          <w:rFonts w:ascii="Times New Roman" w:hAnsi="Times New Roman" w:cs="Times New Roman"/>
          <w:sz w:val="28"/>
          <w:szCs w:val="28"/>
        </w:rPr>
      </w:pPr>
      <w:r>
        <w:rPr>
          <w:rFonts w:cs="Times New Roman" w:ascii="Times New Roman" w:hAnsi="Times New Roman"/>
          <w:sz w:val="28"/>
          <w:szCs w:val="28"/>
        </w:rPr>
      </w:r>
      <w:r>
        <w:br w:type="page"/>
      </w:r>
    </w:p>
    <w:p>
      <w:pPr>
        <w:pStyle w:val="Normal"/>
        <w:jc w:val="right"/>
        <w:rPr>
          <w:rFonts w:ascii="Times New Roman" w:hAnsi="Times New Roman" w:cs="Times New Roman"/>
          <w:sz w:val="28"/>
          <w:szCs w:val="28"/>
        </w:rPr>
      </w:pPr>
      <w:r>
        <w:rPr>
          <w:rFonts w:cs="Times New Roman" w:ascii="Times New Roman" w:hAnsi="Times New Roman"/>
          <w:sz w:val="28"/>
          <w:szCs w:val="28"/>
        </w:rPr>
        <w:t>Приложение</w:t>
      </w:r>
    </w:p>
    <w:p>
      <w:pPr>
        <w:pStyle w:val="Normal"/>
        <w:spacing w:lineRule="auto" w:line="240" w:before="0" w:after="0"/>
        <w:ind w:left="5954" w:hanging="0"/>
        <w:jc w:val="center"/>
        <w:rPr>
          <w:rFonts w:ascii="Times New Roman" w:hAnsi="Times New Roman" w:cs="Times New Roman"/>
          <w:sz w:val="28"/>
          <w:szCs w:val="28"/>
        </w:rPr>
      </w:pPr>
      <w:r>
        <w:rPr>
          <w:rFonts w:cs="Times New Roman" w:ascii="Times New Roman" w:hAnsi="Times New Roman"/>
          <w:sz w:val="28"/>
          <w:szCs w:val="28"/>
        </w:rPr>
        <w:t>к Методике оценки пожарной безопасности жилого дома (квартиры)</w:t>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Обстановка с пожарами в зданиях жилого назначения в Российской Федерации в период 2019-2021 годов</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В ходе анализа обстановки с пожарами было исследовано количество пожаров и погибших от них людей, произошедших на следующих объектах</w:t>
      </w:r>
      <w:r>
        <w:rPr>
          <w:rFonts w:cs="Times New Roman" w:ascii="Times New Roman" w:hAnsi="Times New Roman"/>
          <w:iCs/>
          <w:sz w:val="28"/>
          <w:szCs w:val="28"/>
        </w:rPr>
        <w:t xml:space="preserve"> жилищного фонда: одноквартирный жилой дом, многоквартирный жилой дом этажностью </w:t>
      </w:r>
      <w:r>
        <w:rPr>
          <w:rFonts w:cs="Times New Roman" w:ascii="Times New Roman" w:hAnsi="Times New Roman"/>
          <w:sz w:val="28"/>
          <w:szCs w:val="28"/>
        </w:rPr>
        <w:t>до 9 этажей включительно</w:t>
      </w:r>
      <w:r>
        <w:rPr>
          <w:rFonts w:cs="Times New Roman" w:ascii="Times New Roman" w:hAnsi="Times New Roman"/>
          <w:iCs/>
          <w:sz w:val="28"/>
          <w:szCs w:val="28"/>
        </w:rPr>
        <w:t>, многоквартирный жилой дом этажностью 10 этажей и выше.</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Также в ходе исследования был составлен рейтинг субъектов Российской Федерации по числу погибших в расчете на 1 пожар за рассматриваемый период.</w:t>
      </w:r>
    </w:p>
    <w:p>
      <w:pPr>
        <w:pStyle w:val="Normal"/>
        <w:spacing w:before="0" w:after="0"/>
        <w:ind w:firstLine="709"/>
        <w:jc w:val="both"/>
        <w:rPr/>
      </w:pPr>
      <w:r>
        <w:rPr>
          <w:rFonts w:cs="Times New Roman" w:ascii="Times New Roman" w:hAnsi="Times New Roman"/>
          <w:sz w:val="28"/>
          <w:szCs w:val="28"/>
        </w:rPr>
        <w:t>Обстановка с пожарами, произошедшими в зданиях жилого назначения</w:t>
        <w:br/>
        <w:t>в Российской Федерации в период 2019-2021 годов, характеризуется следующими показателями.</w:t>
      </w:r>
    </w:p>
    <w:p>
      <w:pPr>
        <w:pStyle w:val="Normal"/>
        <w:spacing w:before="0" w:after="0"/>
        <w:ind w:firstLine="709"/>
        <w:jc w:val="both"/>
        <w:rPr/>
      </w:pPr>
      <w:r>
        <w:rPr>
          <w:rFonts w:cs="Times New Roman" w:ascii="Times New Roman" w:hAnsi="Times New Roman"/>
          <w:sz w:val="28"/>
          <w:szCs w:val="28"/>
        </w:rPr>
        <w:t>Всего произошло 187 322 пожара, из них 87 847 пожаров (46,9%) в одноквартирных жилых домах, 84 622 (45,2%) пожара в многоквартирных жилых домах этажностью до 9 этажей включительно, а 14 853 пожара (7,9%) в 10-этажныхи выше многоквартирных жилых домах.</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Погибло людей на пожарах, произошедших в зданиях жилого назначения – 19 564 человека, из них 11 354 чел. (58,0%) – в одноквартирных жилых домах, 7 686 (39,3%) – в многоквартирных жилых домах этажностью</w:t>
        <w:br/>
        <w:t>до 9 этажей включительно, и 524 (2,7%) – в 10-этажных и выше многоквартирных жилых домах.</w:t>
      </w:r>
      <w:r>
        <w:br w:type="page"/>
      </w:r>
    </w:p>
    <w:p>
      <w:pPr>
        <w:pStyle w:val="Normal"/>
        <w:jc w:val="right"/>
        <w:rPr>
          <w:rFonts w:ascii="Times New Roman" w:hAnsi="Times New Roman" w:cs="Times New Roman"/>
          <w:b/>
          <w:b/>
          <w:sz w:val="28"/>
          <w:szCs w:val="28"/>
        </w:rPr>
      </w:pPr>
      <w:r>
        <w:rPr>
          <w:rFonts w:cs="Times New Roman" w:ascii="Times New Roman" w:hAnsi="Times New Roman"/>
          <w:b/>
          <w:sz w:val="28"/>
          <w:szCs w:val="28"/>
        </w:rPr>
        <w:t>Таблица 1</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Количество пожаров и количество погибших в результате пожаров</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на территории Российской Федерации в одноквартирных жилых домах</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в период 2019-2021 годов</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tbl>
      <w:tblPr>
        <w:tblW w:w="10672" w:type="dxa"/>
        <w:jc w:val="center"/>
        <w:tblInd w:w="0" w:type="dxa"/>
        <w:tblCellMar>
          <w:top w:w="0" w:type="dxa"/>
          <w:left w:w="108" w:type="dxa"/>
          <w:bottom w:w="0" w:type="dxa"/>
          <w:right w:w="108" w:type="dxa"/>
        </w:tblCellMar>
      </w:tblPr>
      <w:tblGrid>
        <w:gridCol w:w="1844"/>
        <w:gridCol w:w="888"/>
        <w:gridCol w:w="854"/>
        <w:gridCol w:w="907"/>
        <w:gridCol w:w="907"/>
        <w:gridCol w:w="845"/>
        <w:gridCol w:w="907"/>
        <w:gridCol w:w="907"/>
        <w:gridCol w:w="846"/>
        <w:gridCol w:w="907"/>
        <w:gridCol w:w="860"/>
      </w:tblGrid>
      <w:tr>
        <w:trPr>
          <w:tblHeader w:val="true"/>
          <w:cantSplit w:val="true"/>
        </w:trPr>
        <w:tc>
          <w:tcPr>
            <w:tcW w:w="1844" w:type="dxa"/>
            <w:vMerge w:val="restart"/>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Субъект</w:t>
            </w:r>
          </w:p>
        </w:tc>
        <w:tc>
          <w:tcPr>
            <w:tcW w:w="2649"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2019 год</w:t>
            </w:r>
          </w:p>
        </w:tc>
        <w:tc>
          <w:tcPr>
            <w:tcW w:w="2659"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2020 год</w:t>
            </w:r>
          </w:p>
        </w:tc>
        <w:tc>
          <w:tcPr>
            <w:tcW w:w="2660"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2021 год</w:t>
            </w:r>
          </w:p>
        </w:tc>
        <w:tc>
          <w:tcPr>
            <w:tcW w:w="86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8"/>
                <w:szCs w:val="28"/>
                <w:lang w:eastAsia="en-US"/>
              </w:rPr>
            </w:pPr>
            <w:r>
              <w:rPr>
                <w:rFonts w:cs="Times New Roman" w:ascii="Times New Roman" w:hAnsi="Times New Roman"/>
                <w:sz w:val="17"/>
                <w:szCs w:val="17"/>
                <w:lang w:eastAsia="en-US"/>
              </w:rPr>
              <w:t>Рейтинг*</w:t>
            </w:r>
          </w:p>
        </w:tc>
      </w:tr>
      <w:tr>
        <w:trPr>
          <w:tblHeader w:val="true"/>
          <w:cantSplit w:val="true"/>
        </w:trPr>
        <w:tc>
          <w:tcPr>
            <w:tcW w:w="184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86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sz w:val="28"/>
                <w:szCs w:val="28"/>
                <w:lang w:eastAsia="en-US"/>
              </w:rPr>
            </w:pPr>
            <w:r>
              <w:rPr>
                <w:rFonts w:cs="Times New Roman" w:ascii="Times New Roman" w:hAnsi="Times New Roman"/>
                <w:sz w:val="28"/>
                <w:szCs w:val="28"/>
                <w:lang w:eastAsia="en-US"/>
              </w:rPr>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Чукотский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автономный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Чеченская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Республика</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174</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256</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0,0201</w:t>
            </w:r>
          </w:p>
        </w:tc>
      </w:tr>
      <w:tr>
        <w:trPr>
          <w:trHeight w:val="387"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Москва</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124</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180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0,0468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Северная Осетия – Алания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0,0478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Тыва</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113</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89</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0,0597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Магаданская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43</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0,0598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Калининградская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84</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0,0613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Дагестан</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0,0620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Камчатский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44</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0,0638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Еврейская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автономная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0,03</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0,0661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Алтай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0,0665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Ингушетия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0,0719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Ямало-Ненецкий автономный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0,0723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Приморский</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675</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599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688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0,0734</w:t>
            </w:r>
          </w:p>
        </w:tc>
      </w:tr>
      <w:tr>
        <w:trPr>
          <w:trHeight w:val="460"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Санкт-Петербург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64</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0,0736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Сахалинская </w:t>
            </w:r>
          </w:p>
          <w:p>
            <w:pPr>
              <w:pStyle w:val="Normal"/>
              <w:spacing w:lineRule="auto" w:line="240" w:before="0" w:after="0"/>
              <w:jc w:val="center"/>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88</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0,0762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Томская</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220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225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0,0777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ЗАТО, особо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важные и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режимные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организации</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xml:space="preserve">Северо-Кавказский </w:t>
            </w:r>
          </w:p>
          <w:p>
            <w:pPr>
              <w:pStyle w:val="Normal"/>
              <w:spacing w:lineRule="auto" w:line="240" w:before="0" w:after="0"/>
              <w:jc w:val="center"/>
              <w:rPr/>
            </w:pPr>
            <w:r>
              <w:rPr>
                <w:rFonts w:cs="Times New Roman" w:ascii="Times New Roman" w:hAnsi="Times New Roman"/>
                <w:b/>
                <w:sz w:val="18"/>
                <w:szCs w:val="18"/>
                <w:lang w:eastAsia="en-US"/>
              </w:rPr>
              <w:t>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1099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129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1143</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1245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74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0,06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0,0829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Кабардино-Балкарская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Республика</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0,0841</w:t>
            </w:r>
          </w:p>
        </w:tc>
      </w:tr>
      <w:tr>
        <w:trPr>
          <w:trHeight w:val="437"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Севастополь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23</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0,0854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Ханты-Мансийский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автономный округ - Югра</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0,0878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Ненецкий</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 </w:t>
            </w:r>
            <w:r>
              <w:rPr>
                <w:rFonts w:cs="Times New Roman" w:ascii="Times New Roman" w:hAnsi="Times New Roman"/>
                <w:sz w:val="18"/>
                <w:szCs w:val="18"/>
                <w:lang w:eastAsia="en-US"/>
              </w:rPr>
              <w:t>автономный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0,0882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Карачаево-Черкесская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Республика</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0,0888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Республика</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Хакасия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144</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151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0,0889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Республика</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Адыгея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84</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94</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0,0928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Московская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1358</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1444</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1628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0,0957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Хабаровский</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350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0,0962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Ленинградская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823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Бурятия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366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329</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0,0969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xml:space="preserve">Дальневосточный </w:t>
            </w:r>
          </w:p>
          <w:p>
            <w:pPr>
              <w:pStyle w:val="Normal"/>
              <w:spacing w:lineRule="auto" w:line="240" w:before="0" w:after="0"/>
              <w:jc w:val="center"/>
              <w:rPr/>
            </w:pPr>
            <w:r>
              <w:rPr>
                <w:rFonts w:cs="Times New Roman" w:ascii="Times New Roman" w:hAnsi="Times New Roman"/>
                <w:b/>
                <w:sz w:val="18"/>
                <w:szCs w:val="18"/>
                <w:lang w:eastAsia="en-US"/>
              </w:rPr>
              <w:t>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2547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2421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2527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280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0,1037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Омская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473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459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466</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0,1052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Иркутская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716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626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662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0,1063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xml:space="preserve">Сибирский </w:t>
            </w:r>
          </w:p>
          <w:p>
            <w:pPr>
              <w:pStyle w:val="Normal"/>
              <w:spacing w:lineRule="auto" w:line="240" w:before="0" w:after="0"/>
              <w:jc w:val="center"/>
              <w:rPr/>
            </w:pPr>
            <w:r>
              <w:rPr>
                <w:rFonts w:cs="Times New Roman" w:ascii="Times New Roman" w:hAnsi="Times New Roman"/>
                <w:b/>
                <w:sz w:val="18"/>
                <w:szCs w:val="18"/>
                <w:lang w:eastAsia="en-US"/>
              </w:rPr>
              <w:t>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5435</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568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5111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571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5162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543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0,1071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Кемеровская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 - Кузбасс</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1071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1055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1010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0,1078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Красноярский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773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677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740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0,1119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Алтайский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1071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985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988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0,1137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Нижегородская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689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722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776</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0,1139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Челябинская</w:t>
            </w:r>
          </w:p>
          <w:p>
            <w:pPr>
              <w:pStyle w:val="Normal"/>
              <w:spacing w:lineRule="auto" w:line="240" w:before="0" w:after="0"/>
              <w:jc w:val="center"/>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607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702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0,1153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Тульская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277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265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265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0,1190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Новосибирская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740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699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701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0,1206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Владимирская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358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0,1208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Краснодарский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1001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1036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1102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0,1217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Калмыкия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0,1228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Мурманская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0,33</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0,1250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Амурская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261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275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0,1259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Астраханская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221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228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Карелия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0,1271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xml:space="preserve">Южный </w:t>
            </w:r>
          </w:p>
          <w:p>
            <w:pPr>
              <w:pStyle w:val="Normal"/>
              <w:spacing w:lineRule="auto" w:line="240" w:before="0" w:after="0"/>
              <w:jc w:val="center"/>
              <w:rPr/>
            </w:pPr>
            <w:r>
              <w:rPr>
                <w:rFonts w:cs="Times New Roman" w:ascii="Times New Roman" w:hAnsi="Times New Roman"/>
                <w:b/>
                <w:sz w:val="18"/>
                <w:szCs w:val="18"/>
                <w:lang w:eastAsia="en-US"/>
              </w:rPr>
              <w:t>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2171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2332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2364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0,1299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Ивановская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0,1303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Ульяновская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0,1308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Саратовская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584</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617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0,1326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Ростовская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632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685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0,1336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xml:space="preserve">Уральский </w:t>
            </w:r>
          </w:p>
          <w:p>
            <w:pPr>
              <w:pStyle w:val="Normal"/>
              <w:spacing w:lineRule="auto" w:line="240" w:before="0" w:after="0"/>
              <w:jc w:val="center"/>
              <w:rPr/>
            </w:pPr>
            <w:r>
              <w:rPr>
                <w:rFonts w:cs="Times New Roman" w:ascii="Times New Roman" w:hAnsi="Times New Roman"/>
                <w:b/>
                <w:sz w:val="18"/>
                <w:szCs w:val="18"/>
                <w:lang w:eastAsia="en-US"/>
              </w:rPr>
              <w:t>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2331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2371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2487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0,1341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Тамбовская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363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0,1345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Костромская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0,1352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Свердловская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852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880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898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0,1361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18"/>
                <w:szCs w:val="18"/>
                <w:lang w:eastAsia="en-US"/>
              </w:rPr>
              <w:t>Центральный 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6360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944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6372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901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6653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812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0,1371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18"/>
                <w:szCs w:val="18"/>
                <w:lang w:eastAsia="en-US"/>
              </w:rPr>
              <w:t>Северо-Западный 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2017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1915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2431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0,1375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Ставропольский 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358</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0,1395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Белгородская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0,1397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Волгоградская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561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602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530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0,1406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Калужская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172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195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0,1438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Самарская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531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523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0,1439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Курганская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363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0,1441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Мордовия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262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234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0,1491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Коми</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125</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0,1496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Смоленская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289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281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282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0,1514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Ярославская</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281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0,1518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Башкортостан</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1044</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1010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160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1098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0,1523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Республика Саха (Якутия)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237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0,1527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Пермский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690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690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781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0,1527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18"/>
                <w:szCs w:val="18"/>
                <w:lang w:eastAsia="en-US"/>
              </w:rPr>
              <w:t>Приволжский федеральный округ</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6281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990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6320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946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6708</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1013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0,15</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0,1527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Забайкальский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край</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0,1530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Крым</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0,1582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Архангельская 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191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198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231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0,1613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Орловская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177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198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176</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0,1633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Воронежская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547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583</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565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0,1640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Пензенская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380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0,1651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Липецкая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237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267</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0,13</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0,1656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Вологодская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227</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0,1664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Тюменская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413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379</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0,1682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Тверская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451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491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0,1697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Брянская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312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0,1699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Татарстан</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476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461</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73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0,1707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Оренбургская </w:t>
            </w:r>
          </w:p>
          <w:p>
            <w:pPr>
              <w:pStyle w:val="Normal"/>
              <w:spacing w:lineRule="auto" w:line="240" w:before="0" w:after="0"/>
              <w:jc w:val="center"/>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410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90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463</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0,1708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Новгородская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284</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360</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0,1749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Рязанская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243</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274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0,1765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Марий Эл</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116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126</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144</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0,24</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0,1788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Кировская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299</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283</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335</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0,1810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Курская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307</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60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251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0,19</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0,1819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Удмуртская Республика</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240</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269</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282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0,1846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Псковская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область</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321</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290</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299</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0,20</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0,1846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Чувашская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 xml:space="preserve">Республика – </w:t>
            </w:r>
          </w:p>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Чувашия</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232</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228</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261</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0,2053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xml:space="preserve">Всего </w:t>
            </w:r>
          </w:p>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по России</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28896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3968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28662</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3697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30289</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3689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0,12</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18"/>
                <w:szCs w:val="18"/>
                <w:lang w:eastAsia="en-US"/>
              </w:rPr>
              <w:t>0,1</w:t>
            </w:r>
            <w:r>
              <w:rPr>
                <w:rFonts w:cs="Times New Roman" w:ascii="Times New Roman" w:hAnsi="Times New Roman"/>
                <w:b/>
                <w:sz w:val="18"/>
                <w:szCs w:val="18"/>
                <w:lang w:val="en-US" w:eastAsia="en-US"/>
              </w:rPr>
              <w:t>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Среднее по субъектам РФ</w:t>
            </w:r>
          </w:p>
        </w:tc>
        <w:tc>
          <w:tcPr>
            <w:tcW w:w="888"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336</w:t>
            </w:r>
          </w:p>
        </w:tc>
        <w:tc>
          <w:tcPr>
            <w:tcW w:w="85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333</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 </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352</w:t>
            </w:r>
          </w:p>
        </w:tc>
        <w:tc>
          <w:tcPr>
            <w:tcW w:w="846"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t>43</w:t>
            </w:r>
          </w:p>
        </w:tc>
        <w:tc>
          <w:tcPr>
            <w:tcW w:w="9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b/>
                <w:b/>
                <w:sz w:val="18"/>
                <w:szCs w:val="18"/>
                <w:lang w:eastAsia="en-US"/>
              </w:rPr>
            </w:pPr>
            <w:r>
              <w:rPr>
                <w:rFonts w:cs="Times New Roman" w:ascii="Times New Roman" w:hAnsi="Times New Roman"/>
                <w:b/>
                <w:sz w:val="18"/>
                <w:szCs w:val="18"/>
                <w:lang w:eastAsia="en-US"/>
              </w:rPr>
            </w:r>
          </w:p>
        </w:tc>
      </w:tr>
    </w:tbl>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t>По имеющимся данным обстановка с пожарами в одноквартирных жилых домах в период 2019-2021 годов характеризуется следующими показателями (таблица 1).</w:t>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t>Общее число зарегистрированных пожаров составило 87 847 ед.</w:t>
        <w:br/>
        <w:t>По сравнению с 2019 и 2020 годами в 2021 г. наблюдается рост количества пожаров почти на 5%. Среднегодовое значение показателя по субъектам Российской Федерации составило 340 ед.</w:t>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t>Общее число погибших людей составило 11 354 чел. По сравнению с 2019 годом в 2020 и 2021 годах наблюдается тенденция к снижению общего числа погибших. Так в Московской области, где произошло наибольшее количество пожаров среди всех субъектов Российской Федерации (количество пожаров возросло по сравнению с 2019 годом на 17%), количество погибших к 2021 году уменьшилось почти на 25%. Среднегодовое значение показателя по субъектам Российской Федерации за год составило 44 чел.</w:t>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t>Число погибших в расчете на 1 пожар в целом по России за 2019-2021 гг. составило 0,13. При этом имелась тенденция к снижению значений показателя</w:t>
        <w:br/>
        <w:t>в течение рассматриваемого периода: в 2019 г. – 0,14; в 2020 г. – 0,13; в 2021 г. – 0,12;</w:t>
      </w:r>
    </w:p>
    <w:p>
      <w:pPr>
        <w:pStyle w:val="Normal"/>
        <w:spacing w:lineRule="auto" w:line="288" w:before="0" w:after="0"/>
        <w:ind w:firstLine="709"/>
        <w:jc w:val="both"/>
        <w:rPr/>
      </w:pPr>
      <w:r>
        <w:rPr>
          <w:rFonts w:cs="Times New Roman" w:ascii="Times New Roman" w:hAnsi="Times New Roman"/>
          <w:sz w:val="28"/>
          <w:szCs w:val="28"/>
        </w:rPr>
        <w:t>В соответствии с рейтингом субъектов по числу погибших в расчете</w:t>
        <w:br/>
        <w:t>на 1 пожар в период 2019-2021 годов:</w:t>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t>худшие показатели имеют Чувашская Республика – 0,21 (то есть</w:t>
        <w:br/>
        <w:t>более 1 погибшего на 5 пожаров), Республика Марий Эл (0,18), Псковская область (0,18), Удмуртская Республика (0,18), Курская (0,18), Кировская (0,18) и Рязанская (0,18) области;</w:t>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t>лучшие значения показателя имеют Чукотский автономный округ (0), Чеченская Республика (0,02), г. Москва (0,05) и Республика Северная Осетия – Алания (0,05). При этом значения показателя в большинстве субъектов Российской Федерации имеют тенденцию к снижению в течение рассматриваемого периода.</w:t>
      </w:r>
    </w:p>
    <w:p>
      <w:pPr>
        <w:pStyle w:val="Normal"/>
        <w:spacing w:lineRule="auto" w:line="288" w:before="0" w:after="0"/>
        <w:ind w:firstLine="709"/>
        <w:jc w:val="both"/>
        <w:rPr>
          <w:rFonts w:ascii="Times New Roman" w:hAnsi="Times New Roman" w:cs="Times New Roman"/>
          <w:sz w:val="28"/>
          <w:szCs w:val="28"/>
        </w:rPr>
      </w:pPr>
      <w:r>
        <w:rPr>
          <w:rFonts w:cs="Times New Roman" w:ascii="Times New Roman" w:hAnsi="Times New Roman"/>
          <w:sz w:val="28"/>
          <w:szCs w:val="28"/>
        </w:rPr>
        <w:t>Среди федеральных округов высший рейтинг по числу погибших на 1 пожар имеет Северо-Кавказский федеральный округ – 0,08, низший – Приволжский федеральный округ – 0,15.</w:t>
      </w:r>
      <w:r>
        <w:br w:type="page"/>
      </w:r>
    </w:p>
    <w:p>
      <w:pPr>
        <w:pStyle w:val="Normal"/>
        <w:jc w:val="right"/>
        <w:rPr>
          <w:rFonts w:ascii="Times New Roman" w:hAnsi="Times New Roman" w:cs="Times New Roman"/>
          <w:b/>
          <w:b/>
          <w:sz w:val="28"/>
          <w:szCs w:val="28"/>
        </w:rPr>
      </w:pPr>
      <w:r>
        <w:rPr>
          <w:rFonts w:cs="Times New Roman" w:ascii="Times New Roman" w:hAnsi="Times New Roman"/>
          <w:b/>
          <w:sz w:val="28"/>
          <w:szCs w:val="28"/>
        </w:rPr>
        <w:t>Таблица 2</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Количество пожаров и количество погибших в результате пожаров</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на территории Российской Федерации в многоквартирных домах этажностью до 9 этажей включительно в период 2019-2021 годов</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tbl>
      <w:tblPr>
        <w:tblW w:w="10840" w:type="dxa"/>
        <w:jc w:val="center"/>
        <w:tblInd w:w="0" w:type="dxa"/>
        <w:tblCellMar>
          <w:top w:w="0" w:type="dxa"/>
          <w:left w:w="108" w:type="dxa"/>
          <w:bottom w:w="0" w:type="dxa"/>
          <w:right w:w="108" w:type="dxa"/>
        </w:tblCellMar>
      </w:tblPr>
      <w:tblGrid>
        <w:gridCol w:w="1844"/>
        <w:gridCol w:w="907"/>
        <w:gridCol w:w="907"/>
        <w:gridCol w:w="907"/>
        <w:gridCol w:w="907"/>
        <w:gridCol w:w="907"/>
        <w:gridCol w:w="851"/>
        <w:gridCol w:w="907"/>
        <w:gridCol w:w="879"/>
        <w:gridCol w:w="907"/>
        <w:gridCol w:w="917"/>
      </w:tblGrid>
      <w:tr>
        <w:trPr>
          <w:tblHeader w:val="true"/>
          <w:cantSplit w:val="true"/>
        </w:trPr>
        <w:tc>
          <w:tcPr>
            <w:tcW w:w="1844" w:type="dxa"/>
            <w:vMerge w:val="restart"/>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Субъект</w:t>
            </w:r>
          </w:p>
        </w:tc>
        <w:tc>
          <w:tcPr>
            <w:tcW w:w="2721"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2019 год</w:t>
            </w:r>
          </w:p>
        </w:tc>
        <w:tc>
          <w:tcPr>
            <w:tcW w:w="2665"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2020 год</w:t>
            </w:r>
          </w:p>
        </w:tc>
        <w:tc>
          <w:tcPr>
            <w:tcW w:w="2693"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2021 год</w:t>
            </w:r>
          </w:p>
        </w:tc>
        <w:tc>
          <w:tcPr>
            <w:tcW w:w="917"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Рейтинг*</w:t>
            </w:r>
          </w:p>
        </w:tc>
      </w:tr>
      <w:tr>
        <w:trPr>
          <w:tblHeader w:val="true"/>
          <w:cantSplit w:val="true"/>
        </w:trPr>
        <w:tc>
          <w:tcPr>
            <w:tcW w:w="184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17"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Ингушетия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Чеченская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0,0132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Северная Осетия - Алания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0,0189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Мурманская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1091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945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0,0190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Тыва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138</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0,0263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Ненецкий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0,0278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Приморский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1364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1217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0,0409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Калмыкия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0,0430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Башкортостан</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1380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57</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1079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0,0450</w:t>
            </w:r>
          </w:p>
        </w:tc>
      </w:tr>
      <w:tr>
        <w:trPr>
          <w:trHeight w:val="473"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Москва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1227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0,0503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Хабаровский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989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37</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995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0,0505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Кабардино-Балкарская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0,0508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Сахалинская область</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0,0541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Камчатский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0,0574</w:t>
            </w:r>
          </w:p>
        </w:tc>
      </w:tr>
      <w:tr>
        <w:trPr>
          <w:trHeight w:val="425"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Севастополь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0,0581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Магаданская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0,0581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20"/>
                <w:szCs w:val="20"/>
                <w:lang w:eastAsia="en-US"/>
              </w:rPr>
              <w:t>Северо-Кавказский 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387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0,0616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9"/>
                <w:szCs w:val="19"/>
                <w:lang w:eastAsia="en-US"/>
              </w:rPr>
            </w:pPr>
            <w:r>
              <w:rPr>
                <w:rFonts w:cs="Times New Roman" w:ascii="Times New Roman" w:hAnsi="Times New Roman"/>
                <w:b/>
                <w:sz w:val="19"/>
                <w:szCs w:val="19"/>
                <w:lang w:eastAsia="en-US"/>
              </w:rPr>
              <w:t>Дальневосточный</w:t>
            </w:r>
          </w:p>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19"/>
                <w:szCs w:val="19"/>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4130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3782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213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3646</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0,0629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Адыгея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0,0676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Ханты-Мансийский 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 – Югра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286</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0,0691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ЗАТО, особо важные и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режимные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организации</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0,0692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Татарстан</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580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544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0,0694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Самарская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687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672</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0,0703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Ямало-Ненецкий 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0,0741</w:t>
            </w:r>
          </w:p>
        </w:tc>
      </w:tr>
      <w:tr>
        <w:trPr>
          <w:trHeight w:val="377"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Санкт-Петербург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940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0,0755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Ставропольский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0,0779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Волгоградская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369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399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0,0782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Калининградская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258</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0,0804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Дагестан</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43</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0,0813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Северо-Западный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4723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4298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318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4131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393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0,0820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Чувашская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 Чувашия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0,0821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Кемеровская область –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Кузбасс</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582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551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0,0830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Удмуртская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0,0836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Еврейская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автономная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0,0837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Южный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1245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106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1175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95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1306</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115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0,0848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Ивановская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381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425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0,0855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Томская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0,0857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Тюменская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0,0886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Крым</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0,0892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Саха (Якутия)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0,0907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Ярославская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350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0,0916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20"/>
                <w:szCs w:val="20"/>
                <w:lang w:eastAsia="en-US"/>
              </w:rPr>
              <w:t>Приволжский 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5832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476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5795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534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5794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592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0,0920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Ульяновская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0,0925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Астраханская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198</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0,0933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Курская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136</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0,0935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Псковская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0,0938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Омская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39</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431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0,0957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Московская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1130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0,0960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Челябинская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649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0,0962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Алтайский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459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457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47</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412</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0,0964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Саратовская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584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69</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566</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0,0977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Орловская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112</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0,0990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Сибирский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4011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392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3854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391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3904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392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0,0998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Краснодарский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0,1003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Липецкая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183</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0,1009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Карачаево-Черкесская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0,1026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20"/>
                <w:szCs w:val="20"/>
                <w:lang w:eastAsia="en-US"/>
              </w:rPr>
              <w:t>Центральный 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5929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577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5549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562</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5691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623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0,1026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Иркутская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547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607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0,1035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Белгородская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0,1041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Коми</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0,1090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Красноярский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890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815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90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0,1092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Уральский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2518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2255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233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2228</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276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0,1101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Забайкальский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213</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0,1118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Карелия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276</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0,1127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Пермский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564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628</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0,1130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Хакасия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0,1137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Брянская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0,1140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Амурская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0,1148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Марий Эл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0,1151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Бурятия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193</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0,1151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Алтай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0,1158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Ленинградская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0,1217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Воронежская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258</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0,1229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Оренбургская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0,1246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Новгородская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206</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0,1250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Пензенская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197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0,1259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Смоленская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242</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0,1261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Новосибирская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479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519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70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0,1263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Тамбовская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133</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0,1286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Архангельская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379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0,1287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Нижегородская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59</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521</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0,1302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Ростовская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353</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0,1336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Мордовия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0,1361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Костромская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32</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0,1369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Свердловская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848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691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101</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698</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0,1448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Владимирская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295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0,1535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Вологодская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277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394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0,1536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Курганская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175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0,20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0,1544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Калужская</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 </w:t>
            </w: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18</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154</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0,1580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Рязанская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154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139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0,1643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Тверская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43</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242</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0,1693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Тульская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44</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242</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0,1752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Кировская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360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387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67</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399</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69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0,1754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Чукотский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30</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0,40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0,1892</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Всего </w:t>
            </w:r>
          </w:p>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по России</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29273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2501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27644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2445</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0,088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27705</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2740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0,099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0,09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Среднее по </w:t>
            </w:r>
            <w:r>
              <w:rPr>
                <w:rFonts w:cs="Times New Roman" w:ascii="Times New Roman" w:hAnsi="Times New Roman"/>
                <w:b/>
                <w:sz w:val="18"/>
                <w:szCs w:val="18"/>
                <w:lang w:eastAsia="en-US"/>
              </w:rPr>
              <w:t>субъектам РФ</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673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635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56</w:t>
            </w:r>
          </w:p>
        </w:tc>
        <w:tc>
          <w:tcPr>
            <w:tcW w:w="851"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637</w:t>
            </w:r>
          </w:p>
        </w:tc>
        <w:tc>
          <w:tcPr>
            <w:tcW w:w="87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63</w:t>
            </w:r>
          </w:p>
        </w:tc>
        <w:tc>
          <w:tcPr>
            <w:tcW w:w="9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r>
          </w:p>
        </w:tc>
      </w:tr>
    </w:tbl>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Обстановка с пожарами и погибшими в многоквартирных домах этажностью до 9 этажей включительно в период 2019-2021 годов сложилась следующая (таблица 2).</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Общее число зарегистрированных пожаров составило 84 622 ед.</w:t>
        <w:br/>
        <w:t>По сравнению с 2019 годом, в 2021 году ситуация с пожарами улучшилась:</w:t>
        <w:br/>
        <w:t>их число составило 27 705 единиц, что на 6% меньше, чем в 2019 году. Среднегодовое значение показателя по субъектам РФ составило 648 ед.</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Общее число погибших людей составило 7 686 чел. При этом данный показатель в 2021 году увеличился почти на 10%, по сравнению с 2019-2020 годами. Среднегодовое значение показателя по субъектам Российской Федерации составило 59 чел.</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Число погибших в расчете на 1 пожар в целом по России за 2019-2021 гг. составило 0,09, что почти на треть (-29,7%) меньше, чем в одноквартирных жилых домах, при этом имелась тенденция к росту значений показателя в течение рассматриваемого периода: в 2019 г. – 0,085, в 2020 г. – 0,088, в 2021 г. – 0,099.</w:t>
      </w:r>
    </w:p>
    <w:p>
      <w:pPr>
        <w:pStyle w:val="Normal"/>
        <w:spacing w:before="0" w:after="0"/>
        <w:ind w:firstLine="709"/>
        <w:jc w:val="both"/>
        <w:rPr/>
      </w:pPr>
      <w:r>
        <w:rPr>
          <w:rFonts w:cs="Times New Roman" w:ascii="Times New Roman" w:hAnsi="Times New Roman"/>
          <w:sz w:val="28"/>
          <w:szCs w:val="28"/>
        </w:rPr>
        <w:t>В соответствии с рейтингом субъектов по числу погибших в расчете</w:t>
        <w:br/>
        <w:t>на 1 пожар в период 2019-2021 годов:</w:t>
      </w:r>
    </w:p>
    <w:p>
      <w:pPr>
        <w:pStyle w:val="Normal"/>
        <w:spacing w:before="0" w:after="0"/>
        <w:ind w:firstLine="709"/>
        <w:jc w:val="both"/>
        <w:rPr/>
      </w:pPr>
      <w:r>
        <w:rPr>
          <w:rFonts w:cs="Times New Roman" w:ascii="Times New Roman" w:hAnsi="Times New Roman"/>
          <w:sz w:val="28"/>
          <w:szCs w:val="28"/>
        </w:rPr>
        <w:t>худший показатель имеют Республика Ингушетия - 0,19 (около 1 погибшего на 5 пожаров), Кировская (0,18), Тульская (0,18) и Тверская(0,17) области;</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лучшие показатели имеют Чукотский автономный округ (0), Чеченская Республика (0,01), Республика Северная Осетия-Алания (0,02) и Мурманская область (0,02).</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t>Среди федеральных округов высший рейтинг по числу погибших</w:t>
        <w:br/>
        <w:t>на 1 пожар имеют Северо-Кавказский (0,06) и Дальневосточный (0,06) федеральные округа, низший – Уральский федеральный округ (0,11).</w:t>
      </w:r>
      <w:r>
        <w:br w:type="page"/>
      </w:r>
    </w:p>
    <w:p>
      <w:pPr>
        <w:pStyle w:val="Normal"/>
        <w:jc w:val="right"/>
        <w:rPr>
          <w:rFonts w:ascii="Times New Roman" w:hAnsi="Times New Roman" w:cs="Times New Roman"/>
          <w:b/>
          <w:b/>
          <w:sz w:val="28"/>
          <w:szCs w:val="28"/>
        </w:rPr>
      </w:pPr>
      <w:r>
        <w:rPr>
          <w:rFonts w:cs="Times New Roman" w:ascii="Times New Roman" w:hAnsi="Times New Roman"/>
          <w:b/>
          <w:sz w:val="28"/>
          <w:szCs w:val="28"/>
        </w:rPr>
        <w:t>Таблица 3</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Количество пожаров и количество погибших в результате пожаров</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t>на территории Российской Федерации в 10-этажных и выше многоквартирных жилых домах в период 2019-2021 годов</w:t>
      </w:r>
    </w:p>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tbl>
      <w:tblPr>
        <w:tblW w:w="10924" w:type="dxa"/>
        <w:jc w:val="center"/>
        <w:tblInd w:w="0" w:type="dxa"/>
        <w:tblCellMar>
          <w:top w:w="0" w:type="dxa"/>
          <w:left w:w="108" w:type="dxa"/>
          <w:bottom w:w="0" w:type="dxa"/>
          <w:right w:w="108" w:type="dxa"/>
        </w:tblCellMar>
      </w:tblPr>
      <w:tblGrid>
        <w:gridCol w:w="1844"/>
        <w:gridCol w:w="907"/>
        <w:gridCol w:w="907"/>
        <w:gridCol w:w="907"/>
        <w:gridCol w:w="907"/>
        <w:gridCol w:w="907"/>
        <w:gridCol w:w="907"/>
        <w:gridCol w:w="907"/>
        <w:gridCol w:w="907"/>
        <w:gridCol w:w="907"/>
        <w:gridCol w:w="917"/>
      </w:tblGrid>
      <w:tr>
        <w:trPr>
          <w:tblHeader w:val="true"/>
          <w:cantSplit w:val="true"/>
        </w:trPr>
        <w:tc>
          <w:tcPr>
            <w:tcW w:w="1844" w:type="dxa"/>
            <w:vMerge w:val="restart"/>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t>Субъект</w:t>
            </w:r>
          </w:p>
        </w:tc>
        <w:tc>
          <w:tcPr>
            <w:tcW w:w="2721"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2019 год</w:t>
            </w:r>
          </w:p>
        </w:tc>
        <w:tc>
          <w:tcPr>
            <w:tcW w:w="2721"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2020 год</w:t>
            </w:r>
          </w:p>
        </w:tc>
        <w:tc>
          <w:tcPr>
            <w:tcW w:w="2721" w:type="dxa"/>
            <w:gridSpan w:val="3"/>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2021 год</w:t>
            </w:r>
          </w:p>
        </w:tc>
        <w:tc>
          <w:tcPr>
            <w:tcW w:w="917"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Рейтинг*</w:t>
            </w:r>
          </w:p>
        </w:tc>
      </w:tr>
      <w:tr>
        <w:trPr>
          <w:tblHeader w:val="true"/>
          <w:cantSplit w:val="true"/>
        </w:trPr>
        <w:tc>
          <w:tcPr>
            <w:tcW w:w="1844"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sz w:val="18"/>
                <w:szCs w:val="18"/>
                <w:lang w:eastAsia="en-US"/>
              </w:rPr>
            </w:pPr>
            <w:r>
              <w:rPr>
                <w:rFonts w:cs="Times New Roman" w:ascii="Times New Roman" w:hAnsi="Times New Roman"/>
                <w:sz w:val="18"/>
                <w:szCs w:val="18"/>
                <w:lang w:eastAsia="en-US"/>
              </w:rPr>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Кол-во пожаров, ед.</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людей, чел.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Погибло на 1 пожар, чел</w:t>
            </w:r>
          </w:p>
        </w:tc>
        <w:tc>
          <w:tcPr>
            <w:tcW w:w="917"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Ненецкий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Ингушетия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Тыва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Магаданская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Еврейская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автономная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Чукотский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Карелия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Коми</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Ленинградская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Новгородская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Костромская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Тамбовская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Тверская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Пензенская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Адыгея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Калмыкия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trHeight w:val="312"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Севастополь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Дагестан</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Кабардино-Балкарская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Карачаево-Черкесская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Чеченская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Алтай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Хакасия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Бурятия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Саха (Якутия)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Забайкальский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Камчатский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Амурская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Сахалинская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0,0000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Красноярский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0,0055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Томская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0,0104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Мурманская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0,0111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Ярославская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0,0125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9"/>
                <w:szCs w:val="19"/>
                <w:lang w:eastAsia="en-US"/>
              </w:rPr>
            </w:pPr>
            <w:r>
              <w:rPr>
                <w:rFonts w:cs="Times New Roman" w:ascii="Times New Roman" w:hAnsi="Times New Roman"/>
                <w:b/>
                <w:sz w:val="19"/>
                <w:szCs w:val="19"/>
                <w:lang w:eastAsia="en-US"/>
              </w:rPr>
              <w:t xml:space="preserve">Дальневосточный </w:t>
            </w:r>
          </w:p>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19"/>
                <w:szCs w:val="19"/>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443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409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0,0144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Самарская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0,0145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Хабаровский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291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275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191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0,0145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Приморский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0,0166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Оренбургская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0,0167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Ханты-Мансийский 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 - Югра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0,0219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Смоленская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0,0227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Тюменская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0,0265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Ульяновская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Башкортостан</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162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0,0277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Брянская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0,0294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Краснодарский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0,0309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Сибирский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0,0314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Татарстан</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0,0315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Кировская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0,0317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Волгоградская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0,0317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Южный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0,0323</w:t>
            </w:r>
          </w:p>
        </w:tc>
      </w:tr>
      <w:tr>
        <w:trPr>
          <w:trHeight w:val="433"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Москва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2326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1881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1928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0,0323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Московская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263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0,0333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Челябинская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0,0336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20"/>
                <w:szCs w:val="20"/>
                <w:lang w:eastAsia="en-US"/>
              </w:rPr>
              <w:t>Центральный 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2842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2386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87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2499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98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0,0351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Алтайский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0,0361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20"/>
                <w:szCs w:val="20"/>
                <w:lang w:eastAsia="en-US"/>
              </w:rPr>
              <w:t>Приволжский 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640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641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653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0,0383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Крым</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0,0385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Уральский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254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253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0,0408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Северо-Западный </w:t>
            </w:r>
          </w:p>
          <w:p>
            <w:pPr>
              <w:pStyle w:val="Normal"/>
              <w:spacing w:lineRule="auto" w:line="240" w:before="0" w:after="0"/>
              <w:jc w:val="center"/>
              <w:rPr/>
            </w:pPr>
            <w:r>
              <w:rPr>
                <w:rFonts w:cs="Times New Roman" w:ascii="Times New Roman" w:hAnsi="Times New Roman"/>
                <w:b/>
                <w:sz w:val="20"/>
                <w:szCs w:val="20"/>
                <w:lang w:eastAsia="en-US"/>
              </w:rPr>
              <w:t>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483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524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594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0,0431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Иркутская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0,0435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Белгородская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0,0444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ЗАТО, особо важные и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режимные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организации</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0,0444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Омская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0,0476</w:t>
            </w:r>
          </w:p>
        </w:tc>
      </w:tr>
      <w:tr>
        <w:trPr>
          <w:trHeight w:val="401" w:hRule="atLeast"/>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Санкт-Петербург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373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363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0,0490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Свердловская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0,0508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Мордовия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0,0513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Орловская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0,25</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0,0526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Архангельская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0,0541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Новосибирская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0,0547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cs="Times New Roman" w:ascii="Times New Roman" w:hAnsi="Times New Roman"/>
                <w:b/>
                <w:sz w:val="20"/>
                <w:szCs w:val="20"/>
                <w:lang w:eastAsia="en-US"/>
              </w:rPr>
              <w:t>Северо-Кавказский федеральный 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0,0583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Астраханская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0,0625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Кемеровская область –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Кузбасс</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0,0625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Пермский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0,0647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Вологодская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Псковская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0,11</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Липецкая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Калининградская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0,0678</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Нижегородская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0,0690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Владимирская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0,0714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Удмуртская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0,0725</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Курская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0,0750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Саратовская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0,08</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0,0769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Марий Эл</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0,0833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Ставропольский край</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0,16</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0,0893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Чувашская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Республика - Чувашия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0,13</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0,0909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Воронежская 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0,09</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0,0916</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Ростовская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0,0943</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Республика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Северная Осетия - Алания</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0,50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0,1111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Тульская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0,14</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0,1250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Ямало-Ненецкий автономный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округ</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0,1250</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Калужская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0,33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0,1429</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Рязанская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3</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0,38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0,1481</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Ивановская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0,1667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 xml:space="preserve">Курганская </w:t>
            </w:r>
          </w:p>
          <w:p>
            <w:pPr>
              <w:pStyle w:val="Normal"/>
              <w:spacing w:lineRule="auto" w:line="240" w:before="0" w:after="0"/>
              <w:jc w:val="center"/>
              <w:rPr>
                <w:rFonts w:ascii="Times New Roman" w:hAnsi="Times New Roman" w:cs="Times New Roman"/>
                <w:sz w:val="20"/>
                <w:szCs w:val="20"/>
                <w:lang w:eastAsia="en-US"/>
              </w:rPr>
            </w:pPr>
            <w:r>
              <w:rPr>
                <w:rFonts w:cs="Times New Roman" w:ascii="Times New Roman" w:hAnsi="Times New Roman"/>
                <w:sz w:val="20"/>
                <w:szCs w:val="20"/>
                <w:lang w:eastAsia="en-US"/>
              </w:rPr>
              <w:t>область</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0,00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11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0,36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sz w:val="17"/>
                <w:szCs w:val="17"/>
                <w:lang w:eastAsia="en-US"/>
              </w:rPr>
            </w:pPr>
            <w:r>
              <w:rPr>
                <w:rFonts w:cs="Times New Roman" w:ascii="Times New Roman" w:hAnsi="Times New Roman"/>
                <w:sz w:val="17"/>
                <w:szCs w:val="17"/>
                <w:lang w:eastAsia="en-US"/>
              </w:rPr>
              <w:t>0,3077</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Всего </w:t>
            </w:r>
          </w:p>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по России</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5229</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157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0,030</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4758</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161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0,034</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4866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206</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0,042</w:t>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t>0,04</w:t>
            </w:r>
          </w:p>
        </w:tc>
      </w:tr>
      <w:tr>
        <w:trPr>
          <w:cantSplit w:val="true"/>
        </w:trPr>
        <w:tc>
          <w:tcPr>
            <w:tcW w:w="184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cs="Times New Roman"/>
                <w:b/>
                <w:b/>
                <w:sz w:val="20"/>
                <w:szCs w:val="20"/>
                <w:lang w:eastAsia="en-US"/>
              </w:rPr>
            </w:pPr>
            <w:r>
              <w:rPr>
                <w:rFonts w:cs="Times New Roman" w:ascii="Times New Roman" w:hAnsi="Times New Roman"/>
                <w:b/>
                <w:sz w:val="20"/>
                <w:szCs w:val="20"/>
                <w:lang w:eastAsia="en-US"/>
              </w:rPr>
              <w:t xml:space="preserve">Среднее по </w:t>
            </w:r>
            <w:r>
              <w:rPr>
                <w:rFonts w:cs="Times New Roman" w:ascii="Times New Roman" w:hAnsi="Times New Roman"/>
                <w:b/>
                <w:sz w:val="18"/>
                <w:szCs w:val="18"/>
                <w:lang w:eastAsia="en-US"/>
              </w:rPr>
              <w:t>субъектам РФ</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pPr>
            <w:r>
              <w:rPr>
                <w:rFonts w:eastAsia="Calibri" w:cs="Times New Roman" w:ascii="Times New Roman" w:hAnsi="Times New Roman"/>
                <w:b/>
                <w:sz w:val="17"/>
                <w:szCs w:val="17"/>
                <w:lang w:eastAsia="en-US"/>
              </w:rPr>
              <w:t>61</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t>55</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t>57</w:t>
            </w:r>
          </w:p>
        </w:tc>
        <w:tc>
          <w:tcPr>
            <w:tcW w:w="907"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t>2</w:t>
            </w:r>
          </w:p>
        </w:tc>
        <w:tc>
          <w:tcPr>
            <w:tcW w:w="9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jc w:val="center"/>
              <w:rPr>
                <w:rFonts w:ascii="Times New Roman" w:hAnsi="Times New Roman" w:eastAsia="Calibri" w:cs="Times New Roman"/>
                <w:b/>
                <w:b/>
                <w:sz w:val="17"/>
                <w:szCs w:val="17"/>
                <w:lang w:eastAsia="en-US"/>
              </w:rPr>
            </w:pPr>
            <w:r>
              <w:rPr>
                <w:rFonts w:eastAsia="Calibri" w:cs="Times New Roman" w:ascii="Times New Roman" w:hAnsi="Times New Roman"/>
                <w:b/>
                <w:sz w:val="17"/>
                <w:szCs w:val="17"/>
                <w:lang w:eastAsia="en-US"/>
              </w:rPr>
            </w:r>
          </w:p>
        </w:tc>
        <w:tc>
          <w:tcPr>
            <w:tcW w:w="9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jc w:val="center"/>
              <w:rPr>
                <w:rFonts w:ascii="Times New Roman" w:hAnsi="Times New Roman" w:cs="Times New Roman"/>
                <w:b/>
                <w:b/>
                <w:sz w:val="17"/>
                <w:szCs w:val="17"/>
                <w:lang w:eastAsia="en-US"/>
              </w:rPr>
            </w:pPr>
            <w:r>
              <w:rPr>
                <w:rFonts w:cs="Times New Roman" w:ascii="Times New Roman" w:hAnsi="Times New Roman"/>
                <w:b/>
                <w:sz w:val="17"/>
                <w:szCs w:val="17"/>
                <w:lang w:eastAsia="en-US"/>
              </w:rPr>
            </w:r>
          </w:p>
        </w:tc>
      </w:tr>
    </w:tbl>
    <w:p>
      <w:pPr>
        <w:pStyle w:val="Normal"/>
        <w:spacing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Обстановка с пожарами в 10-этажных и выше многоквартирных жилых домах в период 2019-2021 годов характеризуется следующими показателями</w:t>
        <w:br/>
        <w:t>(таблица 3).</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Общее число зарегистрированных пожаров составляет 14 853 ед. Наибольшее количество пожаров произошло в 2019 году и составило 5 229.</w:t>
        <w:br/>
        <w:t>К 2021 году число пожаров заметно сократилось и составило 4 866. Среднегодовое значение показателя по субъектам Российской Федерации составило 58 ед.</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Общее число погибших людей составило 524 чел., при этом данный показатель имел тенденцию к увеличению и в 2021 году составил 206 чел.,</w:t>
        <w:br/>
        <w:t>(157 – в 2019 году, 161 – в 2020 году). Среднегодовое значение показателя</w:t>
        <w:br/>
        <w:t>по субъектам Российской Федерации составило 2 чел.</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Число погибших в расчете на 1 пожар в целом по России за 2019-2021 гг. составило 0,04, что почти в 3,7 раза меньше, чем в одноквартирных жилых домах и почти в 2,6 раза меньше, чем в многоквартирных жилых домах этажностью</w:t>
        <w:br/>
        <w:t>до 9 этажей. При этом имелась тенденция к росту значений показателя в течение рассматриваемого периода: в 2019 г. – 0,030, в 2020 г. – 0,034, в 2021 г. – 0,042.</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В 6 субъектах Российской Федерации за 2019-2021 годы</w:t>
        <w:br/>
        <w:t>на рассматриваемых объектах не произошло ни одного пожара: Ненецкий</w:t>
        <w:br/>
        <w:t>и Чукотский автономные округа, Республики Ингушетия и Тыва, Магаданская</w:t>
        <w:br/>
        <w:t>и Еврейская автономная области.</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В 29 субъектах Российской Федерации погибшие не зарегистрированы.</w:t>
      </w:r>
    </w:p>
    <w:p>
      <w:pPr>
        <w:pStyle w:val="Normal"/>
        <w:spacing w:lineRule="auto" w:line="252" w:before="0" w:after="0"/>
        <w:ind w:firstLine="709"/>
        <w:jc w:val="both"/>
        <w:rPr/>
      </w:pPr>
      <w:r>
        <w:rPr>
          <w:rFonts w:cs="Times New Roman" w:ascii="Times New Roman" w:hAnsi="Times New Roman"/>
          <w:sz w:val="28"/>
          <w:szCs w:val="28"/>
        </w:rPr>
        <w:t>В соответствии с рейтингом субъектов по числу погибших в расчете</w:t>
        <w:br/>
        <w:t>на 1 пожар в период 2019-2021 годов худший рейтинг имеют Курганская область – 0,31 (то есть около 1 погибшего на 3 пожара), Ивановская (0,17), Рязанская (0,15) и Калужская (0,14) области;</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Среди федеральных округов высший рейтинг по числу погибших</w:t>
        <w:br/>
        <w:t xml:space="preserve">на 1 пожар имеет Дальневосточный федеральный округ – 0,01, низший – </w:t>
        <w:br/>
        <w:t>Северо-Кавказский – 0,06.</w:t>
      </w:r>
    </w:p>
    <w:p>
      <w:pPr>
        <w:pStyle w:val="Normal"/>
        <w:spacing w:lineRule="auto" w:line="252" w:before="0" w:after="0"/>
        <w:ind w:firstLine="709"/>
        <w:jc w:val="both"/>
        <w:rPr/>
      </w:pPr>
      <w:r>
        <w:rPr>
          <w:rFonts w:cs="Times New Roman" w:ascii="Times New Roman" w:hAnsi="Times New Roman"/>
          <w:sz w:val="28"/>
          <w:szCs w:val="28"/>
        </w:rPr>
        <w:t>Наибольшее количество пожаров, произошедших в жилых домах,</w:t>
        <w:br/>
        <w:t>и погибших при них людей за рассматриваемый период 2019-2021 годов зарегистрировано в одноквартирных жилых домах, а наименьшее – в 10-этажных и выше многоквартирных домах.</w:t>
      </w:r>
    </w:p>
    <w:p>
      <w:pPr>
        <w:pStyle w:val="Normal"/>
        <w:spacing w:lineRule="auto" w:line="252" w:before="0" w:after="0"/>
        <w:ind w:firstLine="709"/>
        <w:jc w:val="both"/>
        <w:rPr/>
      </w:pPr>
      <w:r>
        <w:rPr>
          <w:rFonts w:cs="Times New Roman" w:ascii="Times New Roman" w:hAnsi="Times New Roman"/>
          <w:sz w:val="28"/>
          <w:szCs w:val="28"/>
        </w:rPr>
        <w:t>Наибольшее число погибших на 1 пожар соответствует одноквартирным жилым домам – 0,13 чел., в многоквартирных жилых домах этажностью</w:t>
        <w:br/>
        <w:t>до 9 этажей включительно значения показателя составили 0,09 чел., в 10-этажных и выше многоквартирных жилых домах – 0,04 чел.</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t>К регионам с лучшим рейтингом обстановки с пожарами в жилых домах относятся Чеченская Республика (0,011), Республика Ингушетия (0,024), Республика Тыва (0,028). Регионами с худшим рейтингом, в свою очередь, являются Курганская (0,202), Рязанская (0,163) и Калужская (0,148) области.</w:t>
      </w:r>
    </w:p>
    <w:p>
      <w:pPr>
        <w:pStyle w:val="Normal"/>
        <w:spacing w:lineRule="auto" w:line="252"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52" w:before="0" w:after="0"/>
        <w:jc w:val="both"/>
        <w:rPr>
          <w:rFonts w:ascii="Times New Roman" w:hAnsi="Times New Roman" w:cs="Times New Roman"/>
          <w:sz w:val="28"/>
          <w:szCs w:val="28"/>
        </w:rPr>
      </w:pPr>
      <w:r>
        <w:rPr>
          <w:rFonts w:cs="Times New Roman" w:ascii="Times New Roman" w:hAnsi="Times New Roman"/>
          <w:sz w:val="28"/>
          <w:szCs w:val="28"/>
        </w:rPr>
        <w:drawing>
          <wp:inline distT="0" distB="0" distL="0" distR="0">
            <wp:extent cx="6381750" cy="9245600"/>
            <wp:effectExtent l="0" t="0" r="0" b="0"/>
            <wp:docPr id="13"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 descr=""/>
                    <pic:cNvPicPr>
                      <a:picLocks noChangeAspect="1" noChangeArrowheads="1"/>
                    </pic:cNvPicPr>
                  </pic:nvPicPr>
                  <pic:blipFill>
                    <a:blip r:embed="rId19"/>
                    <a:srcRect l="-6" t="-4" r="-6" b="-4"/>
                    <a:stretch>
                      <a:fillRect/>
                    </a:stretch>
                  </pic:blipFill>
                  <pic:spPr bwMode="auto">
                    <a:xfrm>
                      <a:off x="0" y="0"/>
                      <a:ext cx="6381750" cy="9245600"/>
                    </a:xfrm>
                    <a:prstGeom prst="rect">
                      <a:avLst/>
                    </a:prstGeom>
                  </pic:spPr>
                </pic:pic>
              </a:graphicData>
            </a:graphic>
          </wp:inline>
        </w:drawing>
      </w:r>
    </w:p>
    <w:p>
      <w:pPr>
        <w:pStyle w:val="Normal"/>
        <w:spacing w:lineRule="auto" w:line="252" w:before="0" w:after="0"/>
        <w:jc w:val="both"/>
        <w:rPr>
          <w:rFonts w:ascii="Times New Roman" w:hAnsi="Times New Roman" w:cs="Times New Roman"/>
          <w:sz w:val="28"/>
          <w:szCs w:val="28"/>
        </w:rPr>
      </w:pPr>
      <w:r>
        <w:rPr>
          <w:rFonts w:cs="Times New Roman" w:ascii="Times New Roman" w:hAnsi="Times New Roman"/>
          <w:sz w:val="28"/>
          <w:szCs w:val="28"/>
        </w:rPr>
        <w:drawing>
          <wp:inline distT="0" distB="0" distL="0" distR="0">
            <wp:extent cx="6324600" cy="9213850"/>
            <wp:effectExtent l="0" t="0" r="0" b="0"/>
            <wp:docPr id="14"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2" descr=""/>
                    <pic:cNvPicPr>
                      <a:picLocks noChangeAspect="1" noChangeArrowheads="1"/>
                    </pic:cNvPicPr>
                  </pic:nvPicPr>
                  <pic:blipFill>
                    <a:blip r:embed="rId20"/>
                    <a:srcRect l="-6" t="-4" r="-6" b="-4"/>
                    <a:stretch>
                      <a:fillRect/>
                    </a:stretch>
                  </pic:blipFill>
                  <pic:spPr bwMode="auto">
                    <a:xfrm>
                      <a:off x="0" y="0"/>
                      <a:ext cx="6324600" cy="9213850"/>
                    </a:xfrm>
                    <a:prstGeom prst="rect">
                      <a:avLst/>
                    </a:prstGeom>
                  </pic:spPr>
                </pic:pic>
              </a:graphicData>
            </a:graphic>
          </wp:inline>
        </w:drawing>
      </w:r>
    </w:p>
    <w:sectPr>
      <w:headerReference w:type="default" r:id="rId21"/>
      <w:footerReference w:type="default" r:id="rId22"/>
      <w:footnotePr>
        <w:numFmt w:val="decimal"/>
      </w:footnotePr>
      <w:type w:val="nextPage"/>
      <w:pgSz w:w="11906" w:h="16838"/>
      <w:pgMar w:left="1276" w:right="849" w:header="708" w:top="1134"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cc"/>
    <w:family w:val="swiss"/>
    <w:pitch w:val="variable"/>
  </w:font>
  <w:font w:name="Times New Roman CYR">
    <w:charset w:val="cc"/>
    <w:family w:val="roman"/>
    <w:pitch w:val="variable"/>
  </w:font>
  <w:font w:name="Times New Roman">
    <w:charset w:val="cc"/>
    <w:family w:val="roman"/>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rFonts w:ascii="Times New Roman" w:hAnsi="Times New Roman" w:cs="Times New Roman"/>
      </w:rPr>
    </w:pPr>
    <w:r>
      <w:rPr>
        <w:rFonts w:cs="Times New Roman" w:ascii="Times New Roman" w:hAnsi="Times New Roman"/>
      </w:rPr>
    </w:r>
  </w:p>
  <w:p>
    <w:pPr>
      <w:pStyle w:val="Style35"/>
      <w:rPr>
        <w:rFonts w:ascii="Times New Roman" w:hAnsi="Times New Roman" w:cs="Times New Roman"/>
      </w:rPr>
    </w:pPr>
    <w:r>
      <w:rPr>
        <w:rFonts w:cs="Times New Roman" w:ascii="Times New Roman" w:hAnsi="Times New Roman"/>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rFonts w:ascii="Times New Roman" w:hAnsi="Times New Roman" w:cs="Times New Roman"/>
      </w:rPr>
    </w:pPr>
    <w:r>
      <w:rPr>
        <w:rFonts w:cs="Times New Roman" w:ascii="Times New Roman" w:hAnsi="Times New Roman"/>
      </w:rPr>
    </w:r>
  </w:p>
  <w:p>
    <w:pPr>
      <w:pStyle w:val="Style35"/>
      <w:rPr>
        <w:rFonts w:ascii="Times New Roman" w:hAnsi="Times New Roman" w:cs="Times New Roman"/>
      </w:rPr>
    </w:pPr>
    <w:r>
      <w:rPr>
        <w:rFonts w:cs="Times New Roman" w:ascii="Times New Roman" w:hAnsi="Times New Roman"/>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rFonts w:ascii="Times New Roman" w:hAnsi="Times New Roman" w:cs="Times New Roman"/>
      </w:rPr>
    </w:pPr>
    <w:r>
      <w:rPr>
        <w:rFonts w:cs="Times New Roman" w:ascii="Times New Roman" w:hAnsi="Times New Roman"/>
      </w:rPr>
    </w:r>
  </w:p>
  <w:p>
    <w:pPr>
      <w:pStyle w:val="Style35"/>
      <w:rPr>
        <w:rFonts w:ascii="Times New Roman" w:hAnsi="Times New Roman" w:cs="Times New Roman"/>
      </w:rPr>
    </w:pPr>
    <w:r>
      <w:rPr>
        <w:rFonts w:cs="Times New Roman" w:ascii="Times New Roman" w:hAnsi="Times New Roman"/>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15"/>
        <w:rPr/>
      </w:pPr>
      <w:r>
        <w:rPr>
          <w:rStyle w:val="Style23"/>
        </w:rPr>
        <w:footnoteRef/>
      </w:r>
      <w:r>
        <w:rPr>
          <w:rFonts w:cs="Times New Roman" w:ascii="Times New Roman" w:hAnsi="Times New Roman"/>
        </w:rPr>
        <w:t>* ответственность за нарушение данного требования несет организация, обслуживающая многоквартирный дом</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21</w:t>
    </w:r>
    <w:r>
      <w:rPr>
        <w:rFonts w:cs="Times New Roman" w:ascii="Times New Roman" w:hAnsi="Times New Roman"/>
      </w:rPr>
      <w:fldChar w:fldCharType="end"/>
    </w:r>
  </w:p>
  <w:p>
    <w:pPr>
      <w:pStyle w:val="Style3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52</w:t>
    </w:r>
    <w:r>
      <w:rPr>
        <w:rFonts w:cs="Times New Roman" w:ascii="Times New Roman" w:hAnsi="Times New Roman"/>
      </w:rPr>
      <w:fldChar w:fldCharType="end"/>
    </w:r>
  </w:p>
  <w:p>
    <w:pPr>
      <w:pStyle w:val="Style33"/>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79</w:t>
    </w:r>
    <w:r>
      <w:rPr>
        <w:rFonts w:cs="Times New Roman" w:ascii="Times New Roman" w:hAnsi="Times New Roman"/>
      </w:rPr>
      <w:fldChar w:fldCharType="end"/>
    </w:r>
  </w:p>
  <w:p>
    <w:pPr>
      <w:pStyle w:val="Style3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sz w:val="28"/>
        <w:b w:val="false"/>
        <w:szCs w:val="28"/>
        <w:bCs w:val="false"/>
        <w:rFonts w:ascii="Times New Roman" w:hAnsi="Times New Roman" w:cs="Times New Roman"/>
      </w:rPr>
    </w:lvl>
  </w:abstractNum>
  <w:abstractNum w:abstractNumId="3">
    <w:lvl w:ilvl="0">
      <w:start w:val="1"/>
      <w:numFmt w:val="decimal"/>
      <w:lvlText w:val="%1."/>
      <w:lvlJc w:val="left"/>
      <w:pPr>
        <w:ind w:left="1211" w:hanging="360"/>
      </w:pPr>
      <w:rPr>
        <w:sz w:val="28"/>
        <w:szCs w:val="28"/>
        <w:rFonts w:ascii="Times New Roman" w:hAnsi="Times New Roman" w:cs="Times New Roman"/>
      </w:rPr>
    </w:lvl>
  </w:abstractNum>
  <w:abstractNum w:abstractNumId="4">
    <w:lvl w:ilvl="0">
      <w:start w:val="1"/>
      <w:numFmt w:val="decimal"/>
      <w:lvlText w:val="%1."/>
      <w:lvlJc w:val="left"/>
      <w:pPr>
        <w:ind w:left="2006" w:hanging="1155"/>
      </w:pPr>
      <w:rPr>
        <w:sz w:val="28"/>
        <w:szCs w:val="28"/>
        <w:rFonts w:ascii="Times New Roman" w:hAnsi="Times New Roman" w:cs="Times New Roman"/>
      </w:rPr>
    </w:lvl>
  </w:abstractNum>
  <w:abstractNum w:abstractNumId="5">
    <w:lvl w:ilvl="0">
      <w:start w:val="1"/>
      <w:numFmt w:val="decimal"/>
      <w:lvlText w:val="%1."/>
      <w:lvlJc w:val="left"/>
      <w:pPr>
        <w:ind w:left="928" w:hanging="360"/>
      </w:pPr>
      <w:rPr>
        <w:sz w:val="28"/>
        <w:szCs w:val="28"/>
        <w:rFonts w:ascii="Times New Roman" w:hAnsi="Times New Roman" w:cs="Times New Roman"/>
      </w:rPr>
    </w:lvl>
  </w:abstractNum>
  <w:abstractNum w:abstractNumId="6">
    <w:lvl w:ilvl="0">
      <w:start w:val="1"/>
      <w:numFmt w:val="decimal"/>
      <w:lvlText w:val="%1."/>
      <w:lvlJc w:val="left"/>
      <w:pPr>
        <w:ind w:left="720" w:hanging="360"/>
      </w:pPr>
      <w:rPr>
        <w:sz w:val="28"/>
        <w:szCs w:val="28"/>
        <w:rFonts w:ascii="Times New Roman" w:hAnsi="Times New Roman" w:cs="Times New Roman"/>
      </w:rPr>
    </w:lvl>
  </w:abstractNum>
  <w:abstractNum w:abstractNumId="7">
    <w:lvl w:ilvl="0">
      <w:start w:val="1"/>
      <w:numFmt w:val="decimal"/>
      <w:lvlText w:val="%1."/>
      <w:lvlJc w:val="left"/>
      <w:pPr>
        <w:ind w:left="1353" w:hanging="360"/>
      </w:pPr>
      <w:rPr>
        <w:sz w:val="28"/>
        <w:szCs w:val="28"/>
        <w:bCs/>
        <w:rFonts w:ascii="Times New Roman" w:hAnsi="Times New Roman" w:cs="Times New Roman"/>
      </w:rPr>
    </w:lvl>
  </w:abstractNum>
  <w:abstractNum w:abstractNumId="8">
    <w:lvl w:ilvl="0">
      <w:start w:val="1"/>
      <w:numFmt w:val="decimal"/>
      <w:lvlText w:val="%1."/>
      <w:lvlJc w:val="left"/>
      <w:pPr>
        <w:ind w:left="786" w:hanging="360"/>
      </w:pPr>
      <w:rPr>
        <w:sz w:val="28"/>
        <w:szCs w:val="28"/>
        <w:rFonts w:ascii="Times New Roman" w:hAnsi="Times New Roman" w:cs="Times New Roman"/>
      </w:rPr>
    </w:lvl>
  </w:abstractNum>
  <w:abstractNum w:abstractNumId="9">
    <w:lvl w:ilvl="0">
      <w:start w:val="1"/>
      <w:numFmt w:val="decimal"/>
      <w:lvlText w:val="%1."/>
      <w:lvlJc w:val="left"/>
      <w:pPr>
        <w:ind w:left="750" w:hanging="390"/>
      </w:pPr>
      <w:rPr>
        <w:sz w:val="28"/>
        <w:szCs w:val="28"/>
        <w:rFonts w:ascii="Times New Roman" w:hAnsi="Times New Roman" w:cs="Times New Roman"/>
      </w:rPr>
    </w:lvl>
  </w:abstractNum>
  <w:abstractNum w:abstractNumId="10">
    <w:lvl w:ilvl="0">
      <w:start w:val="1"/>
      <w:numFmt w:val="decimal"/>
      <w:lvlText w:val="%1."/>
      <w:lvlJc w:val="left"/>
      <w:pPr>
        <w:ind w:left="720" w:hanging="360"/>
      </w:pPr>
      <w:rPr>
        <w:sz w:val="28"/>
        <w:szCs w:val="28"/>
        <w:rFonts w:ascii="Times New Roman" w:hAnsi="Times New Roman" w:cs="Times New Roman"/>
      </w:rPr>
    </w:lvl>
  </w:abstractNum>
  <w:abstractNum w:abstractNumId="11">
    <w:lvl w:ilvl="0">
      <w:start w:val="1"/>
      <w:numFmt w:val="decimal"/>
      <w:lvlText w:val="%1."/>
      <w:lvlJc w:val="left"/>
      <w:pPr>
        <w:ind w:left="1211" w:hanging="360"/>
      </w:pPr>
      <w:rPr>
        <w:sz w:val="28"/>
        <w:szCs w:val="28"/>
        <w:rFonts w:ascii="Times New Roman" w:hAnsi="Times New Roman" w:cs="Times New Roman"/>
      </w:rPr>
    </w:lvl>
  </w:abstractNum>
  <w:abstractNum w:abstractNumId="12">
    <w:lvl w:ilvl="0">
      <w:start w:val="1"/>
      <w:numFmt w:val="decimal"/>
      <w:lvlText w:val="%1."/>
      <w:lvlJc w:val="left"/>
      <w:pPr>
        <w:ind w:left="1976" w:hanging="1125"/>
      </w:pPr>
      <w:rPr>
        <w:sz w:val="28"/>
        <w:szCs w:val="28"/>
        <w:rFonts w:ascii="Times New Roman" w:hAnsi="Times New Roman" w:cs="Times New Roman"/>
      </w:rPr>
    </w:lvl>
  </w:abstractNum>
  <w:abstractNum w:abstractNumId="13">
    <w:lvl w:ilvl="0">
      <w:start w:val="1"/>
      <w:numFmt w:val="decimal"/>
      <w:lvlText w:val="%1."/>
      <w:lvlJc w:val="left"/>
      <w:pPr>
        <w:ind w:left="2036" w:hanging="1185"/>
      </w:pPr>
      <w:rPr>
        <w:sz w:val="28"/>
        <w:i w:val="false"/>
        <w:szCs w:val="28"/>
        <w:rFonts w:ascii="Times New Roman" w:hAnsi="Times New Roman" w:cs="Times New Roman"/>
      </w:rPr>
    </w:lvl>
    <w:lvl w:ilvl="1">
      <w:start w:val="6"/>
      <w:numFmt w:val="decimal"/>
      <w:lvlText w:val="%1.%2"/>
      <w:lvlJc w:val="left"/>
      <w:pPr>
        <w:ind w:left="1211" w:hanging="360"/>
      </w:pPr>
      <w:rPr/>
    </w:lvl>
    <w:lvl w:ilvl="2">
      <w:start w:val="1"/>
      <w:numFmt w:val="decimal"/>
      <w:lvlText w:val="%1.%2.%3"/>
      <w:lvlJc w:val="left"/>
      <w:pPr>
        <w:ind w:left="1571" w:hanging="720"/>
      </w:pPr>
      <w:rPr/>
    </w:lvl>
    <w:lvl w:ilvl="3">
      <w:start w:val="1"/>
      <w:numFmt w:val="decimal"/>
      <w:lvlText w:val="%1.%2.%3.%4"/>
      <w:lvlJc w:val="left"/>
      <w:pPr>
        <w:ind w:left="1931" w:hanging="1080"/>
      </w:pPr>
      <w:rPr/>
    </w:lvl>
    <w:lvl w:ilvl="4">
      <w:start w:val="1"/>
      <w:numFmt w:val="decimal"/>
      <w:lvlText w:val="%1.%2.%3.%4.%5"/>
      <w:lvlJc w:val="left"/>
      <w:pPr>
        <w:ind w:left="1931" w:hanging="1080"/>
      </w:pPr>
      <w:rPr/>
    </w:lvl>
    <w:lvl w:ilvl="5">
      <w:start w:val="1"/>
      <w:numFmt w:val="decimal"/>
      <w:lvlText w:val="%1.%2.%3.%4.%5.%6"/>
      <w:lvlJc w:val="left"/>
      <w:pPr>
        <w:ind w:left="2291" w:hanging="1440"/>
      </w:pPr>
      <w:rPr/>
    </w:lvl>
    <w:lvl w:ilvl="6">
      <w:start w:val="1"/>
      <w:numFmt w:val="decimal"/>
      <w:lvlText w:val="%1.%2.%3.%4.%5.%6.%7"/>
      <w:lvlJc w:val="left"/>
      <w:pPr>
        <w:ind w:left="2291" w:hanging="1440"/>
      </w:pPr>
      <w:rPr/>
    </w:lvl>
    <w:lvl w:ilvl="7">
      <w:start w:val="1"/>
      <w:numFmt w:val="decimal"/>
      <w:lvlText w:val="%1.%2.%3.%4.%5.%6.%7.%8"/>
      <w:lvlJc w:val="left"/>
      <w:pPr>
        <w:ind w:left="2651" w:hanging="1800"/>
      </w:pPr>
      <w:rPr/>
    </w:lvl>
    <w:lvl w:ilvl="8">
      <w:start w:val="1"/>
      <w:numFmt w:val="decimal"/>
      <w:lvlText w:val="%1.%2.%3.%4.%5.%6.%7.%8.%9"/>
      <w:lvlJc w:val="left"/>
      <w:pPr>
        <w:ind w:left="3011" w:hanging="2160"/>
      </w:pPr>
      <w:rPr/>
    </w:lvl>
  </w:abstractNum>
  <w:abstractNum w:abstractNumId="14">
    <w:lvl w:ilvl="0">
      <w:start w:val="1"/>
      <w:numFmt w:val="decimal"/>
      <w:lvlText w:val="%1."/>
      <w:lvlJc w:val="left"/>
      <w:pPr>
        <w:ind w:left="1211" w:hanging="360"/>
      </w:pPr>
      <w:rPr>
        <w:sz w:val="28"/>
        <w:i w:val="false"/>
        <w:szCs w:val="28"/>
        <w:rFonts w:ascii="Times New Roman" w:hAnsi="Times New Roman" w:cs="Times New Roman"/>
      </w:rPr>
    </w:lvl>
  </w:abstractNum>
  <w:abstractNum w:abstractNumId="15">
    <w:lvl w:ilvl="0">
      <w:start w:val="1"/>
      <w:numFmt w:val="decimal"/>
      <w:lvlText w:val="%1."/>
      <w:lvlJc w:val="left"/>
      <w:pPr>
        <w:ind w:left="2006" w:hanging="1155"/>
      </w:pPr>
      <w:rPr>
        <w:sz w:val="28"/>
        <w:szCs w:val="28"/>
        <w:rFonts w:ascii="Times New Roman" w:hAnsi="Times New Roman" w:cs="Times New Roman"/>
      </w:rPr>
    </w:lvl>
  </w:abstractNum>
  <w:abstractNum w:abstractNumId="16">
    <w:lvl w:ilvl="0">
      <w:start w:val="1"/>
      <w:numFmt w:val="decimal"/>
      <w:lvlText w:val="%1."/>
      <w:lvlJc w:val="left"/>
      <w:pPr>
        <w:ind w:left="720" w:hanging="360"/>
      </w:pPr>
      <w:rPr>
        <w:sz w:val="28"/>
        <w:szCs w:val="28"/>
        <w:rFonts w:ascii="Times New Roman" w:hAnsi="Times New Roman" w:cs="Times New Roman"/>
      </w:rPr>
    </w:lvl>
  </w:abstractNum>
  <w:abstractNum w:abstractNumId="17">
    <w:lvl w:ilvl="0">
      <w:start w:val="1"/>
      <w:numFmt w:val="decimal"/>
      <w:lvlText w:val="%1."/>
      <w:lvlJc w:val="left"/>
      <w:pPr>
        <w:ind w:left="720" w:hanging="360"/>
      </w:pPr>
      <w:rPr>
        <w:sz w:val="28"/>
        <w:szCs w:val="28"/>
        <w:rFonts w:ascii="Times New Roman" w:hAnsi="Times New Roman" w:cs="Times New Roman"/>
      </w:rPr>
    </w:lvl>
  </w:abstractNum>
  <w:abstractNum w:abstractNumId="18">
    <w:lvl w:ilvl="0">
      <w:start w:val="1"/>
      <w:numFmt w:val="decimal"/>
      <w:lvlText w:val="%1."/>
      <w:lvlJc w:val="left"/>
      <w:pPr>
        <w:ind w:left="720" w:hanging="360"/>
      </w:pPr>
      <w:rPr>
        <w:sz w:val="28"/>
        <w:szCs w:val="28"/>
        <w:rFonts w:ascii="Times New Roman" w:hAnsi="Times New Roman" w:cs="Times New Roman"/>
      </w:rPr>
    </w:lvl>
  </w:abstractNum>
  <w:abstractNum w:abstractNumId="19">
    <w:lvl w:ilvl="0">
      <w:start w:val="1"/>
      <w:numFmt w:val="decimal"/>
      <w:lvlText w:val="%1."/>
      <w:lvlJc w:val="left"/>
      <w:pPr>
        <w:ind w:left="840" w:hanging="480"/>
      </w:pPr>
      <w:rPr>
        <w:sz w:val="28"/>
        <w:szCs w:val="28"/>
        <w:rFonts w:ascii="Times New Roman" w:hAnsi="Times New Roman" w:cs="Times New Roman"/>
      </w:rPr>
    </w:lvl>
  </w:abstractNum>
  <w:abstractNum w:abstractNumId="20">
    <w:lvl w:ilvl="0">
      <w:start w:val="1"/>
      <w:numFmt w:val="decimal"/>
      <w:lvlText w:val="%1."/>
      <w:lvlJc w:val="left"/>
      <w:pPr>
        <w:ind w:left="720" w:hanging="360"/>
      </w:pPr>
      <w:rPr>
        <w:sz w:val="28"/>
        <w:szCs w:val="28"/>
        <w:rFonts w:ascii="Times New Roman" w:hAnsi="Times New Roman"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pPrDefault>
  </w:docDefaults>
  <w:style w:type="paragraph" w:styleId="Normal">
    <w:name w:val="Normal"/>
    <w:qFormat/>
    <w:pPr>
      <w:widowControl/>
      <w:bidi w:val="0"/>
      <w:spacing w:lineRule="auto" w:line="276" w:before="0" w:after="200"/>
    </w:pPr>
    <w:rPr>
      <w:rFonts w:ascii="Calibri" w:hAnsi="Calibri" w:eastAsia="Times New Roman" w:cs="Times New Roman"/>
      <w:color w:val="auto"/>
      <w:sz w:val="22"/>
      <w:szCs w:val="22"/>
      <w:lang w:val="ru-RU" w:bidi="ar-SA" w:eastAsia="zh-CN"/>
    </w:rPr>
  </w:style>
  <w:style w:type="paragraph" w:styleId="1">
    <w:name w:val="Heading 1"/>
    <w:basedOn w:val="Normal"/>
    <w:next w:val="Normal"/>
    <w:qFormat/>
    <w:pPr>
      <w:widowControl w:val="false"/>
      <w:numPr>
        <w:ilvl w:val="0"/>
        <w:numId w:val="1"/>
      </w:numPr>
      <w:autoSpaceDE w:val="false"/>
      <w:spacing w:lineRule="auto" w:line="240" w:before="108" w:after="108"/>
      <w:jc w:val="center"/>
      <w:outlineLvl w:val="0"/>
    </w:pPr>
    <w:rPr>
      <w:rFonts w:ascii="Times New Roman CYR" w:hAnsi="Times New Roman CYR" w:cs="Times New Roman CYR"/>
      <w:b/>
      <w:bCs/>
      <w:color w:val="26282F"/>
      <w:sz w:val="24"/>
      <w:szCs w:val="24"/>
    </w:rPr>
  </w:style>
  <w:style w:type="character" w:styleId="WW8Num1z0">
    <w:name w:val="WW8Num1z0"/>
    <w:qFormat/>
    <w:rPr>
      <w:rFonts w:ascii="Times New Roman" w:hAnsi="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rPr>
  </w:style>
  <w:style w:type="character" w:styleId="WW8Num2z0">
    <w:name w:val="WW8Num2z0"/>
    <w:qFormat/>
    <w:rPr>
      <w:rFonts w:ascii="Times New Roman" w:hAnsi="Times New Roman" w:cs="Times New Roman"/>
      <w:b w:val="false"/>
      <w:bCs w:val="false"/>
      <w:sz w:val="28"/>
      <w:szCs w:val="28"/>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cs="Times New Roman"/>
      <w:sz w:val="28"/>
      <w:szCs w:val="28"/>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cs="Times New Roman"/>
      <w:sz w:val="28"/>
      <w:szCs w:val="2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cs="Times New Roman"/>
      <w:sz w:val="28"/>
      <w:szCs w:val="28"/>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Times New Roman" w:hAnsi="Times New Roman" w:cs="Times New Roman"/>
      <w:sz w:val="28"/>
      <w:szCs w:val="28"/>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Times New Roman" w:hAnsi="Times New Roman" w:cs="Times New Roman"/>
      <w:bCs/>
      <w:sz w:val="28"/>
      <w:szCs w:val="28"/>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Times New Roman" w:hAnsi="Times New Roman" w:cs="Times New Roman"/>
      <w:sz w:val="28"/>
      <w:szCs w:val="28"/>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b w:val="false"/>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Times New Roman" w:hAnsi="Times New Roman" w:cs="Times New Roman"/>
      <w:sz w:val="28"/>
      <w:szCs w:val="28"/>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Times New Roman" w:hAnsi="Times New Roman" w:cs="Times New Roman"/>
      <w:sz w:val="28"/>
      <w:szCs w:val="28"/>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Times New Roman" w:hAnsi="Times New Roman" w:cs="Times New Roman"/>
      <w:sz w:val="28"/>
      <w:szCs w:val="28"/>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Times New Roman" w:hAnsi="Times New Roman" w:cs="Times New Roman"/>
      <w:sz w:val="28"/>
      <w:szCs w:val="28"/>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b w:val="false"/>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Times New Roman" w:hAnsi="Times New Roman" w:cs="Times New Roman"/>
      <w:i w:val="false"/>
      <w:sz w:val="28"/>
      <w:szCs w:val="28"/>
    </w:rPr>
  </w:style>
  <w:style w:type="character" w:styleId="WW8Num26z1">
    <w:name w:val="WW8Num26z1"/>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Times New Roman" w:hAnsi="Times New Roman" w:cs="Times New Roman"/>
      <w:i w:val="false"/>
      <w:sz w:val="28"/>
      <w:szCs w:val="28"/>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Times New Roman" w:hAnsi="Times New Roman" w:cs="Times New Roman"/>
      <w:sz w:val="28"/>
      <w:szCs w:val="28"/>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Times New Roman" w:hAnsi="Times New Roman" w:cs="Times New Roman"/>
      <w:sz w:val="28"/>
      <w:szCs w:val="28"/>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rFonts w:ascii="Times New Roman" w:hAnsi="Times New Roman" w:cs="Times New Roman"/>
      <w:sz w:val="28"/>
      <w:szCs w:val="28"/>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Times New Roman" w:hAnsi="Times New Roman" w:cs="Times New Roman"/>
      <w:sz w:val="28"/>
      <w:szCs w:val="28"/>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rFonts w:ascii="Times New Roman" w:hAnsi="Times New Roman" w:cs="Times New Roman"/>
      <w:sz w:val="28"/>
      <w:szCs w:val="28"/>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ascii="Times New Roman" w:hAnsi="Times New Roman" w:cs="Times New Roman"/>
      <w:sz w:val="28"/>
      <w:szCs w:val="28"/>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i w:val="false"/>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Style13">
    <w:name w:val="Основной шрифт абзаца"/>
    <w:qFormat/>
    <w:rPr/>
  </w:style>
  <w:style w:type="character" w:styleId="11">
    <w:name w:val="Основной текст Знак1"/>
    <w:qFormat/>
    <w:rPr>
      <w:rFonts w:ascii="Times New Roman" w:hAnsi="Times New Roman" w:cs="Times New Roman"/>
      <w:shd w:fill="FFFFFF" w:val="clear"/>
    </w:rPr>
  </w:style>
  <w:style w:type="character" w:styleId="Style14">
    <w:name w:val="Колонтитул_"/>
    <w:qFormat/>
    <w:rPr>
      <w:rFonts w:ascii="Times New Roman" w:hAnsi="Times New Roman" w:cs="Times New Roman"/>
      <w:shd w:fill="FFFFFF" w:val="clear"/>
    </w:rPr>
  </w:style>
  <w:style w:type="character" w:styleId="Style15">
    <w:name w:val="Колонтитул"/>
    <w:qFormat/>
    <w:rPr>
      <w:rFonts w:ascii="Times New Roman" w:hAnsi="Times New Roman" w:cs="Times New Roman"/>
      <w:shd w:fill="FFFFFF" w:val="clear"/>
    </w:rPr>
  </w:style>
  <w:style w:type="character" w:styleId="2">
    <w:name w:val="Основной текст (2)_"/>
    <w:qFormat/>
    <w:rPr>
      <w:rFonts w:ascii="Times New Roman" w:hAnsi="Times New Roman" w:cs="Times New Roman"/>
      <w:b/>
      <w:bCs/>
      <w:sz w:val="23"/>
      <w:szCs w:val="23"/>
      <w:shd w:fill="FFFFFF" w:val="clear"/>
    </w:rPr>
  </w:style>
  <w:style w:type="character" w:styleId="Style16">
    <w:name w:val="Основной текст Знак"/>
    <w:basedOn w:val="Style13"/>
    <w:qFormat/>
    <w:rPr/>
  </w:style>
  <w:style w:type="character" w:styleId="10pt">
    <w:name w:val="Колонтитул + 10 pt"/>
    <w:qFormat/>
    <w:rPr>
      <w:rFonts w:ascii="Times New Roman" w:hAnsi="Times New Roman" w:cs="Times New Roman"/>
      <w:sz w:val="20"/>
      <w:szCs w:val="20"/>
      <w:shd w:fill="FFFFFF" w:val="clear"/>
      <w:lang w:val="ru-RU" w:eastAsia="ru-RU"/>
    </w:rPr>
  </w:style>
  <w:style w:type="character" w:styleId="21">
    <w:name w:val="Колонтитул2"/>
    <w:qFormat/>
    <w:rPr>
      <w:rFonts w:ascii="Times New Roman" w:hAnsi="Times New Roman" w:cs="Times New Roman"/>
      <w:shd w:fill="FFFFFF" w:val="clear"/>
    </w:rPr>
  </w:style>
  <w:style w:type="character" w:styleId="26">
    <w:name w:val="Колонтитул + 26"/>
    <w:qFormat/>
    <w:rPr>
      <w:rFonts w:ascii="Times New Roman" w:hAnsi="Times New Roman" w:cs="Times New Roman"/>
      <w:i/>
      <w:iCs/>
      <w:sz w:val="53"/>
      <w:szCs w:val="53"/>
      <w:shd w:fill="FFFFFF" w:val="clear"/>
      <w:lang w:val="ru-RU" w:eastAsia="ru-RU"/>
    </w:rPr>
  </w:style>
  <w:style w:type="character" w:styleId="4">
    <w:name w:val="Заголовок №4_"/>
    <w:qFormat/>
    <w:rPr>
      <w:rFonts w:ascii="Times New Roman" w:hAnsi="Times New Roman" w:cs="Times New Roman"/>
      <w:b/>
      <w:bCs/>
      <w:sz w:val="23"/>
      <w:szCs w:val="23"/>
      <w:shd w:fill="FFFFFF" w:val="clear"/>
    </w:rPr>
  </w:style>
  <w:style w:type="character" w:styleId="22">
    <w:name w:val="Основной текст (2)2"/>
    <w:qFormat/>
    <w:rPr>
      <w:rFonts w:ascii="Times New Roman" w:hAnsi="Times New Roman" w:cs="Times New Roman"/>
      <w:b/>
      <w:bCs/>
      <w:sz w:val="23"/>
      <w:szCs w:val="23"/>
      <w:shd w:fill="FFFFFF" w:val="clear"/>
    </w:rPr>
  </w:style>
  <w:style w:type="character" w:styleId="23">
    <w:name w:val="Заголовок №2_"/>
    <w:qFormat/>
    <w:rPr>
      <w:rFonts w:ascii="Calibri" w:hAnsi="Calibri" w:cs="Calibri"/>
      <w:i/>
      <w:iCs/>
      <w:spacing w:val="-50"/>
      <w:sz w:val="52"/>
      <w:szCs w:val="52"/>
      <w:shd w:fill="FFFFFF" w:val="clear"/>
      <w:lang w:val="en-US"/>
    </w:rPr>
  </w:style>
  <w:style w:type="character" w:styleId="Calibri">
    <w:name w:val="Колонтитул + Calibri"/>
    <w:qFormat/>
    <w:rPr>
      <w:rFonts w:ascii="Calibri" w:hAnsi="Calibri" w:cs="Calibri"/>
      <w:spacing w:val="-10"/>
      <w:sz w:val="8"/>
      <w:szCs w:val="8"/>
      <w:shd w:fill="FFFFFF" w:val="clear"/>
    </w:rPr>
  </w:style>
  <w:style w:type="character" w:styleId="Style17">
    <w:name w:val="Верхний колонтитул Знак"/>
    <w:basedOn w:val="Style13"/>
    <w:qFormat/>
    <w:rPr/>
  </w:style>
  <w:style w:type="character" w:styleId="Style18">
    <w:name w:val="Текст выноски Знак"/>
    <w:qFormat/>
    <w:rPr>
      <w:rFonts w:ascii="Tahoma" w:hAnsi="Tahoma" w:cs="Tahoma"/>
      <w:sz w:val="16"/>
      <w:szCs w:val="16"/>
    </w:rPr>
  </w:style>
  <w:style w:type="character" w:styleId="12">
    <w:name w:val="Заголовок 1 Знак"/>
    <w:qFormat/>
    <w:rPr>
      <w:rFonts w:ascii="Times New Roman CYR" w:hAnsi="Times New Roman CYR" w:eastAsia="Times New Roman" w:cs="Times New Roman CYR"/>
      <w:b/>
      <w:bCs/>
      <w:color w:val="26282F"/>
      <w:sz w:val="24"/>
      <w:szCs w:val="24"/>
    </w:rPr>
  </w:style>
  <w:style w:type="character" w:styleId="Style19">
    <w:name w:val="Замещающий текст"/>
    <w:qFormat/>
    <w:rPr>
      <w:color w:val="808080"/>
    </w:rPr>
  </w:style>
  <w:style w:type="character" w:styleId="Style20">
    <w:name w:val="Нижний колонтитул Знак"/>
    <w:basedOn w:val="Style13"/>
    <w:qFormat/>
    <w:rPr/>
  </w:style>
  <w:style w:type="character" w:styleId="Style21">
    <w:name w:val="Гипертекстовая ссылка"/>
    <w:qFormat/>
    <w:rPr>
      <w:rFonts w:cs="Times New Roman"/>
      <w:b/>
      <w:color w:val="106BBE"/>
    </w:rPr>
  </w:style>
  <w:style w:type="character" w:styleId="10pt1">
    <w:name w:val="Основной текст + 10 pt"/>
    <w:qFormat/>
    <w:rPr>
      <w:rFonts w:ascii="Times New Roman" w:hAnsi="Times New Roman" w:cs="Times New Roman"/>
      <w:spacing w:val="4"/>
      <w:sz w:val="20"/>
      <w:szCs w:val="20"/>
      <w:shd w:fill="FFFFFF" w:val="clear"/>
    </w:rPr>
  </w:style>
  <w:style w:type="character" w:styleId="Style22">
    <w:name w:val="Текст сноски Знак"/>
    <w:qFormat/>
    <w:rPr>
      <w:rFonts w:eastAsia="Times New Roman"/>
      <w:sz w:val="20"/>
      <w:szCs w:val="20"/>
    </w:rPr>
  </w:style>
  <w:style w:type="character" w:styleId="Style23">
    <w:name w:val="Символ сноски"/>
    <w:qFormat/>
    <w:rPr>
      <w:vertAlign w:val="superscript"/>
    </w:rPr>
  </w:style>
  <w:style w:type="character" w:styleId="13">
    <w:name w:val="Текст сноски Знак1"/>
    <w:qFormat/>
    <w:rPr>
      <w:sz w:val="20"/>
      <w:szCs w:val="20"/>
    </w:rPr>
  </w:style>
  <w:style w:type="character" w:styleId="Style24">
    <w:name w:val="Привязка сноски"/>
    <w:rPr>
      <w:vertAlign w:val="superscript"/>
    </w:rPr>
  </w:style>
  <w:style w:type="character" w:styleId="Style25">
    <w:name w:val="Привязка концевой сноски"/>
    <w:rPr>
      <w:vertAlign w:val="superscript"/>
    </w:rPr>
  </w:style>
  <w:style w:type="character" w:styleId="Style26">
    <w:name w:val="Символ концевой сноски"/>
    <w:qFormat/>
    <w:rPr/>
  </w:style>
  <w:style w:type="paragraph" w:styleId="Style27">
    <w:name w:val="Заголовок"/>
    <w:basedOn w:val="Normal"/>
    <w:next w:val="Style28"/>
    <w:qFormat/>
    <w:pPr>
      <w:keepNext w:val="true"/>
      <w:spacing w:before="240" w:after="120"/>
    </w:pPr>
    <w:rPr>
      <w:rFonts w:ascii="PT Astra Serif" w:hAnsi="PT Astra Serif" w:eastAsia="Tahoma" w:cs="Noto Sans Devanagari"/>
      <w:sz w:val="28"/>
      <w:szCs w:val="28"/>
    </w:rPr>
  </w:style>
  <w:style w:type="paragraph" w:styleId="Style28">
    <w:name w:val="Body Text"/>
    <w:basedOn w:val="Normal"/>
    <w:pPr>
      <w:widowControl w:val="false"/>
      <w:shd w:fill="FFFFFF" w:val="clear"/>
      <w:spacing w:lineRule="exact" w:line="413" w:before="0" w:after="0"/>
      <w:jc w:val="both"/>
    </w:pPr>
    <w:rPr>
      <w:rFonts w:ascii="Times New Roman" w:hAnsi="Times New Roman" w:cs="Times New Roman"/>
    </w:rPr>
  </w:style>
  <w:style w:type="paragraph" w:styleId="Style29">
    <w:name w:val="List"/>
    <w:basedOn w:val="Style28"/>
    <w:pPr>
      <w:shd w:fill="FFFFFF" w:val="clear"/>
    </w:pPr>
    <w:rPr>
      <w:rFonts w:ascii="PT Astra Serif" w:hAnsi="PT Astra Serif" w:cs="Noto Sans Devanagari"/>
    </w:rPr>
  </w:style>
  <w:style w:type="paragraph" w:styleId="Style30">
    <w:name w:val="Caption"/>
    <w:basedOn w:val="Normal"/>
    <w:qFormat/>
    <w:pPr>
      <w:suppressLineNumbers/>
      <w:spacing w:before="120" w:after="120"/>
    </w:pPr>
    <w:rPr>
      <w:rFonts w:ascii="PT Astra Serif" w:hAnsi="PT Astra Serif" w:cs="Noto Sans Devanagari"/>
      <w:i/>
      <w:iCs/>
      <w:sz w:val="24"/>
      <w:szCs w:val="24"/>
    </w:rPr>
  </w:style>
  <w:style w:type="paragraph" w:styleId="Style31">
    <w:name w:val="Указатель"/>
    <w:basedOn w:val="Normal"/>
    <w:qFormat/>
    <w:pPr>
      <w:suppressLineNumbers/>
    </w:pPr>
    <w:rPr>
      <w:rFonts w:ascii="PT Astra Serif" w:hAnsi="PT Astra Serif" w:cs="Noto Sans Devanagari"/>
    </w:rPr>
  </w:style>
  <w:style w:type="paragraph" w:styleId="Style32">
    <w:name w:val="Абзац списка"/>
    <w:basedOn w:val="Normal"/>
    <w:qFormat/>
    <w:pPr>
      <w:spacing w:before="0" w:after="200"/>
      <w:ind w:left="720" w:hanging="0"/>
      <w:contextualSpacing/>
    </w:pPr>
    <w:rPr/>
  </w:style>
  <w:style w:type="paragraph" w:styleId="14">
    <w:name w:val="Колонтитул1"/>
    <w:basedOn w:val="Normal"/>
    <w:qFormat/>
    <w:pPr>
      <w:widowControl w:val="false"/>
      <w:shd w:fill="FFFFFF" w:val="clear"/>
      <w:spacing w:lineRule="atLeast" w:line="240" w:before="0" w:after="0"/>
    </w:pPr>
    <w:rPr>
      <w:rFonts w:ascii="Times New Roman" w:hAnsi="Times New Roman" w:cs="Times New Roman"/>
    </w:rPr>
  </w:style>
  <w:style w:type="paragraph" w:styleId="211">
    <w:name w:val="Основной текст (2)1"/>
    <w:basedOn w:val="Normal"/>
    <w:qFormat/>
    <w:pPr>
      <w:widowControl w:val="false"/>
      <w:shd w:fill="FFFFFF" w:val="clear"/>
      <w:spacing w:lineRule="exact" w:line="408" w:before="0" w:after="0"/>
      <w:ind w:firstLine="720"/>
      <w:jc w:val="both"/>
    </w:pPr>
    <w:rPr>
      <w:rFonts w:ascii="Times New Roman" w:hAnsi="Times New Roman" w:cs="Times New Roman"/>
      <w:b/>
      <w:bCs/>
      <w:sz w:val="23"/>
      <w:szCs w:val="23"/>
    </w:rPr>
  </w:style>
  <w:style w:type="paragraph" w:styleId="41">
    <w:name w:val="Заголовок №4"/>
    <w:basedOn w:val="Normal"/>
    <w:qFormat/>
    <w:pPr>
      <w:widowControl w:val="false"/>
      <w:shd w:fill="FFFFFF" w:val="clear"/>
      <w:spacing w:lineRule="exact" w:line="403" w:before="0" w:after="0"/>
      <w:ind w:firstLine="720"/>
      <w:jc w:val="both"/>
      <w:outlineLvl w:val="3"/>
    </w:pPr>
    <w:rPr>
      <w:rFonts w:ascii="Times New Roman" w:hAnsi="Times New Roman" w:cs="Times New Roman"/>
      <w:b/>
      <w:bCs/>
      <w:sz w:val="23"/>
      <w:szCs w:val="23"/>
    </w:rPr>
  </w:style>
  <w:style w:type="paragraph" w:styleId="24">
    <w:name w:val="Заголовок №2"/>
    <w:basedOn w:val="Normal"/>
    <w:qFormat/>
    <w:pPr>
      <w:widowControl w:val="false"/>
      <w:shd w:fill="FFFFFF" w:val="clear"/>
      <w:spacing w:lineRule="atLeast" w:line="240" w:before="0" w:after="0"/>
      <w:outlineLvl w:val="1"/>
    </w:pPr>
    <w:rPr>
      <w:rFonts w:ascii="Calibri" w:hAnsi="Calibri" w:cs="Calibri"/>
      <w:i/>
      <w:iCs/>
      <w:spacing w:val="-50"/>
      <w:sz w:val="52"/>
      <w:szCs w:val="52"/>
      <w:lang w:val="en-US"/>
    </w:rPr>
  </w:style>
  <w:style w:type="paragraph" w:styleId="Style33">
    <w:name w:val="Header"/>
    <w:basedOn w:val="Normal"/>
    <w:pPr>
      <w:spacing w:lineRule="auto" w:line="240" w:before="0" w:after="0"/>
    </w:pPr>
    <w:rPr/>
  </w:style>
  <w:style w:type="paragraph" w:styleId="Style34">
    <w:name w:val="Текст выноски"/>
    <w:basedOn w:val="Normal"/>
    <w:qFormat/>
    <w:pPr>
      <w:spacing w:lineRule="auto" w:line="240" w:before="0" w:after="0"/>
    </w:pPr>
    <w:rPr>
      <w:rFonts w:ascii="Tahoma" w:hAnsi="Tahoma" w:cs="Tahoma"/>
      <w:sz w:val="16"/>
      <w:szCs w:val="16"/>
    </w:rPr>
  </w:style>
  <w:style w:type="paragraph" w:styleId="Style35">
    <w:name w:val="Footer"/>
    <w:basedOn w:val="Normal"/>
    <w:pPr>
      <w:spacing w:lineRule="auto" w:line="240" w:before="0" w:after="0"/>
    </w:pPr>
    <w:rPr/>
  </w:style>
  <w:style w:type="paragraph" w:styleId="Style36">
    <w:name w:val="Заголовок статьи"/>
    <w:basedOn w:val="Normal"/>
    <w:next w:val="Normal"/>
    <w:qFormat/>
    <w:pPr>
      <w:widowControl w:val="false"/>
      <w:autoSpaceDE w:val="false"/>
      <w:spacing w:lineRule="auto" w:line="240" w:before="0" w:after="0"/>
      <w:ind w:left="1612" w:hanging="892"/>
      <w:jc w:val="both"/>
    </w:pPr>
    <w:rPr>
      <w:rFonts w:ascii="Times New Roman CYR" w:hAnsi="Times New Roman CYR" w:cs="Times New Roman CYR"/>
      <w:sz w:val="24"/>
      <w:szCs w:val="24"/>
    </w:rPr>
  </w:style>
  <w:style w:type="paragraph" w:styleId="Style37">
    <w:name w:val="Общий стиль"/>
    <w:basedOn w:val="Normal"/>
    <w:qFormat/>
    <w:pPr>
      <w:spacing w:before="0" w:after="0"/>
      <w:jc w:val="both"/>
    </w:pPr>
    <w:rPr>
      <w:rFonts w:ascii="Times New Roman" w:hAnsi="Times New Roman" w:eastAsia="Times New Roman" w:cs="Times New Roman"/>
      <w:sz w:val="28"/>
    </w:rPr>
  </w:style>
  <w:style w:type="paragraph" w:styleId="15">
    <w:name w:val="Текст сноски1"/>
    <w:basedOn w:val="Normal"/>
    <w:next w:val="Style38"/>
    <w:qFormat/>
    <w:pPr>
      <w:spacing w:lineRule="auto" w:line="240" w:before="0" w:after="0"/>
    </w:pPr>
    <w:rPr>
      <w:rFonts w:eastAsia="Times New Roman"/>
      <w:sz w:val="20"/>
      <w:szCs w:val="20"/>
    </w:rPr>
  </w:style>
  <w:style w:type="paragraph" w:styleId="Style38">
    <w:name w:val="Footnote Text"/>
    <w:basedOn w:val="Normal"/>
    <w:pPr>
      <w:spacing w:lineRule="auto" w:line="240" w:before="0" w:after="0"/>
    </w:pPr>
    <w:rPr>
      <w:sz w:val="20"/>
      <w:szCs w:val="20"/>
    </w:rPr>
  </w:style>
  <w:style w:type="paragraph" w:styleId="Style39">
    <w:name w:val="Содержимое таблицы"/>
    <w:basedOn w:val="Normal"/>
    <w:qFormat/>
    <w:pPr>
      <w:suppressLineNumbers/>
    </w:pPr>
    <w:rPr/>
  </w:style>
  <w:style w:type="paragraph" w:styleId="Style40">
    <w:name w:val="Заголовок таблицы"/>
    <w:basedOn w:val="Style39"/>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pn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wmf"/><Relationship Id="rId20" Type="http://schemas.openxmlformats.org/officeDocument/2006/relationships/image" Target="media/image13.wmf"/><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footnotes" Target="footnotes.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6</TotalTime>
  <Application>LibreOffice/6.2.7.1$Linux_X86_64 LibreOffice_project/20$Build-1</Application>
  <Pages>79</Pages>
  <Words>994</Words>
  <Characters>4563</Characters>
  <CharactersWithSpaces>5000</CharactersWithSpaces>
  <Paragraphs>605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2023-05-04T17:59:00Z</dcterms:created>
  <dc:creator>Пользователь</dc:creator>
  <dc:description/>
  <cp:keywords/>
  <dc:language>ru-RU</dc:language>
  <cp:lastModifiedBy>Нестругин А. Н.</cp:lastModifiedBy>
  <cp:lastPrinted>2023-05-04T17:56:00Z</cp:lastPrinted>
  <dcterms:modified xsi:type="dcterms:W3CDTF">2023-05-05T15:02:00Z</dcterms:modified>
  <cp:revision>5</cp:revision>
  <dc:subject/>
  <dc:title/>
</cp:coreProperties>
</file>